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BF52" w14:textId="77777777" w:rsidR="00F02697" w:rsidRPr="00CA2715" w:rsidRDefault="00F02697" w:rsidP="0056447B">
      <w:pPr>
        <w:rPr>
          <w:rFonts w:asciiTheme="minorHAnsi" w:hAnsiTheme="minorHAnsi" w:cstheme="minorHAnsi"/>
          <w:b/>
        </w:rPr>
      </w:pPr>
      <w:r w:rsidRPr="00CA2715">
        <w:rPr>
          <w:rFonts w:asciiTheme="minorHAnsi" w:hAnsiTheme="minorHAnsi" w:cstheme="minorHAnsi"/>
          <w:noProof/>
        </w:rPr>
        <w:drawing>
          <wp:anchor distT="0" distB="0" distL="114300" distR="114300" simplePos="0" relativeHeight="251659264" behindDoc="1" locked="0" layoutInCell="1" allowOverlap="1" wp14:anchorId="67928528" wp14:editId="7B0B2D6A">
            <wp:simplePos x="0" y="0"/>
            <wp:positionH relativeFrom="column">
              <wp:posOffset>-21265</wp:posOffset>
            </wp:positionH>
            <wp:positionV relativeFrom="paragraph">
              <wp:posOffset>-591170</wp:posOffset>
            </wp:positionV>
            <wp:extent cx="2051540" cy="733646"/>
            <wp:effectExtent l="0" t="0" r="6350"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513" cy="739001"/>
                    </a:xfrm>
                    <a:prstGeom prst="rect">
                      <a:avLst/>
                    </a:prstGeom>
                    <a:noFill/>
                  </pic:spPr>
                </pic:pic>
              </a:graphicData>
            </a:graphic>
            <wp14:sizeRelH relativeFrom="page">
              <wp14:pctWidth>0</wp14:pctWidth>
            </wp14:sizeRelH>
            <wp14:sizeRelV relativeFrom="page">
              <wp14:pctHeight>0</wp14:pctHeight>
            </wp14:sizeRelV>
          </wp:anchor>
        </w:drawing>
      </w:r>
    </w:p>
    <w:p w14:paraId="30B18894" w14:textId="77777777" w:rsidR="00F02697" w:rsidRPr="00CA2715" w:rsidRDefault="00F02697" w:rsidP="0056447B">
      <w:pPr>
        <w:rPr>
          <w:rFonts w:asciiTheme="minorHAnsi" w:hAnsiTheme="minorHAnsi" w:cstheme="minorHAnsi"/>
          <w:b/>
        </w:rPr>
      </w:pPr>
    </w:p>
    <w:p w14:paraId="25D16843" w14:textId="77777777" w:rsidR="00F02697" w:rsidRPr="00CA2715" w:rsidRDefault="00F02697" w:rsidP="0056447B">
      <w:pPr>
        <w:rPr>
          <w:rFonts w:asciiTheme="minorHAnsi" w:hAnsiTheme="minorHAnsi" w:cstheme="minorHAnsi"/>
          <w:b/>
        </w:rPr>
      </w:pPr>
      <w:bookmarkStart w:id="0" w:name="_GoBack"/>
      <w:bookmarkEnd w:id="0"/>
    </w:p>
    <w:p w14:paraId="6D99ABA7" w14:textId="77777777" w:rsidR="00F02697" w:rsidRDefault="00F02697" w:rsidP="0056447B">
      <w:pPr>
        <w:rPr>
          <w:rFonts w:asciiTheme="minorHAnsi" w:hAnsiTheme="minorHAnsi" w:cstheme="minorHAnsi"/>
          <w:b/>
        </w:rPr>
      </w:pPr>
    </w:p>
    <w:p w14:paraId="3B5B134A" w14:textId="77777777" w:rsidR="006E48D4" w:rsidRDefault="006E48D4" w:rsidP="0056447B">
      <w:pPr>
        <w:rPr>
          <w:rFonts w:asciiTheme="minorHAnsi" w:hAnsiTheme="minorHAnsi" w:cstheme="minorHAnsi"/>
          <w:b/>
        </w:rPr>
      </w:pPr>
    </w:p>
    <w:p w14:paraId="2FFFCDD5" w14:textId="77777777" w:rsidR="006E48D4" w:rsidRDefault="006E48D4" w:rsidP="0056447B">
      <w:pPr>
        <w:rPr>
          <w:rFonts w:asciiTheme="minorHAnsi" w:hAnsiTheme="minorHAnsi" w:cstheme="minorHAnsi"/>
          <w:b/>
        </w:rPr>
      </w:pPr>
    </w:p>
    <w:p w14:paraId="038836F4" w14:textId="77777777" w:rsidR="006E48D4" w:rsidRDefault="006E48D4" w:rsidP="0056447B">
      <w:pPr>
        <w:rPr>
          <w:rFonts w:asciiTheme="minorHAnsi" w:hAnsiTheme="minorHAnsi" w:cstheme="minorHAnsi"/>
          <w:b/>
        </w:rPr>
      </w:pPr>
    </w:p>
    <w:p w14:paraId="1BB0E890" w14:textId="77777777" w:rsidR="006E48D4" w:rsidRDefault="006E48D4" w:rsidP="0056447B">
      <w:pPr>
        <w:rPr>
          <w:rFonts w:asciiTheme="minorHAnsi" w:hAnsiTheme="minorHAnsi" w:cstheme="minorHAnsi"/>
          <w:b/>
        </w:rPr>
      </w:pPr>
    </w:p>
    <w:p w14:paraId="6CD69F72" w14:textId="77777777" w:rsidR="006E48D4" w:rsidRDefault="006E48D4" w:rsidP="0056447B">
      <w:pPr>
        <w:rPr>
          <w:rFonts w:asciiTheme="minorHAnsi" w:hAnsiTheme="minorHAnsi" w:cstheme="minorHAnsi"/>
          <w:b/>
        </w:rPr>
      </w:pPr>
    </w:p>
    <w:p w14:paraId="00AFCF08" w14:textId="77777777" w:rsidR="006E48D4" w:rsidRDefault="006E48D4" w:rsidP="0056447B">
      <w:pPr>
        <w:rPr>
          <w:rFonts w:asciiTheme="minorHAnsi" w:hAnsiTheme="minorHAnsi" w:cstheme="minorHAnsi"/>
          <w:b/>
        </w:rPr>
      </w:pPr>
    </w:p>
    <w:p w14:paraId="73A607B2" w14:textId="77777777" w:rsidR="006E48D4" w:rsidRDefault="006E48D4" w:rsidP="0056447B">
      <w:pPr>
        <w:rPr>
          <w:rFonts w:asciiTheme="minorHAnsi" w:hAnsiTheme="minorHAnsi" w:cstheme="minorHAnsi"/>
          <w:b/>
        </w:rPr>
      </w:pPr>
    </w:p>
    <w:p w14:paraId="438234CC" w14:textId="77777777" w:rsidR="006E48D4" w:rsidRPr="00CA2715" w:rsidRDefault="006E48D4" w:rsidP="0056447B">
      <w:pPr>
        <w:rPr>
          <w:rFonts w:asciiTheme="minorHAnsi" w:hAnsiTheme="minorHAnsi" w:cstheme="minorHAnsi"/>
          <w:b/>
        </w:rPr>
      </w:pPr>
    </w:p>
    <w:p w14:paraId="75304229" w14:textId="77777777" w:rsidR="0056447B" w:rsidRPr="00CA2715" w:rsidRDefault="0056447B" w:rsidP="0056447B">
      <w:pPr>
        <w:rPr>
          <w:rFonts w:asciiTheme="minorHAnsi" w:hAnsiTheme="minorHAnsi" w:cstheme="minorHAnsi"/>
          <w:b/>
        </w:rPr>
      </w:pPr>
    </w:p>
    <w:p w14:paraId="576706BE" w14:textId="77777777" w:rsidR="002E5CA8" w:rsidRPr="002E5CA8" w:rsidRDefault="002E5CA8" w:rsidP="0056447B">
      <w:pPr>
        <w:jc w:val="center"/>
        <w:rPr>
          <w:rFonts w:asciiTheme="minorHAnsi" w:hAnsiTheme="minorHAnsi" w:cstheme="minorHAnsi"/>
          <w:b/>
          <w:sz w:val="56"/>
          <w:szCs w:val="56"/>
        </w:rPr>
      </w:pPr>
      <w:r w:rsidRPr="002E5CA8">
        <w:rPr>
          <w:rFonts w:asciiTheme="minorHAnsi" w:hAnsiTheme="minorHAnsi" w:cstheme="minorHAnsi"/>
          <w:b/>
          <w:sz w:val="56"/>
          <w:szCs w:val="56"/>
        </w:rPr>
        <w:t>UniSource Energy Services</w:t>
      </w:r>
      <w:r w:rsidR="006E48D4">
        <w:rPr>
          <w:rFonts w:asciiTheme="minorHAnsi" w:hAnsiTheme="minorHAnsi" w:cstheme="minorHAnsi"/>
          <w:b/>
          <w:sz w:val="56"/>
          <w:szCs w:val="56"/>
        </w:rPr>
        <w:t xml:space="preserve"> </w:t>
      </w:r>
    </w:p>
    <w:p w14:paraId="267A9DF0" w14:textId="77777777" w:rsidR="0056447B" w:rsidRPr="003E74C0" w:rsidRDefault="00251156" w:rsidP="00A9635C">
      <w:pPr>
        <w:jc w:val="center"/>
        <w:rPr>
          <w:rFonts w:asciiTheme="minorHAnsi" w:hAnsiTheme="minorHAnsi" w:cstheme="minorHAnsi"/>
          <w:b/>
          <w:sz w:val="44"/>
          <w:szCs w:val="44"/>
        </w:rPr>
      </w:pPr>
      <w:r>
        <w:rPr>
          <w:rFonts w:asciiTheme="minorHAnsi" w:hAnsiTheme="minorHAnsi" w:cstheme="minorHAnsi"/>
          <w:b/>
          <w:sz w:val="44"/>
          <w:szCs w:val="44"/>
        </w:rPr>
        <w:t xml:space="preserve">Gas </w:t>
      </w:r>
      <w:r w:rsidR="0056447B" w:rsidRPr="003E74C0">
        <w:rPr>
          <w:rFonts w:asciiTheme="minorHAnsi" w:hAnsiTheme="minorHAnsi" w:cstheme="minorHAnsi"/>
          <w:b/>
          <w:sz w:val="44"/>
          <w:szCs w:val="44"/>
        </w:rPr>
        <w:t xml:space="preserve">Commercial Energy Solutions </w:t>
      </w:r>
    </w:p>
    <w:p w14:paraId="4909BDC7" w14:textId="31B9B2A3" w:rsidR="0056447B" w:rsidRPr="003E74C0" w:rsidRDefault="004F6D69" w:rsidP="003E74C0">
      <w:pPr>
        <w:jc w:val="center"/>
        <w:rPr>
          <w:rFonts w:asciiTheme="minorHAnsi" w:hAnsiTheme="minorHAnsi" w:cstheme="minorHAnsi"/>
          <w:sz w:val="44"/>
          <w:szCs w:val="44"/>
        </w:rPr>
      </w:pPr>
      <w:r>
        <w:rPr>
          <w:rFonts w:asciiTheme="minorHAnsi" w:hAnsiTheme="minorHAnsi" w:cstheme="minorHAnsi"/>
          <w:b/>
          <w:sz w:val="44"/>
          <w:szCs w:val="44"/>
        </w:rPr>
        <w:t>2020</w:t>
      </w:r>
      <w:r w:rsidRPr="003E74C0">
        <w:rPr>
          <w:rFonts w:asciiTheme="minorHAnsi" w:hAnsiTheme="minorHAnsi" w:cstheme="minorHAnsi"/>
          <w:b/>
          <w:sz w:val="44"/>
          <w:szCs w:val="44"/>
        </w:rPr>
        <w:t xml:space="preserve"> </w:t>
      </w:r>
      <w:r w:rsidR="002E5CA8" w:rsidRPr="003E74C0">
        <w:rPr>
          <w:rFonts w:asciiTheme="minorHAnsi" w:hAnsiTheme="minorHAnsi" w:cstheme="minorHAnsi"/>
          <w:b/>
          <w:sz w:val="44"/>
          <w:szCs w:val="44"/>
        </w:rPr>
        <w:t>Program</w:t>
      </w:r>
    </w:p>
    <w:p w14:paraId="15C260F9" w14:textId="77777777" w:rsidR="0056447B" w:rsidRPr="003E74C0" w:rsidRDefault="0056447B" w:rsidP="009639FB">
      <w:pPr>
        <w:jc w:val="center"/>
        <w:rPr>
          <w:rFonts w:asciiTheme="minorHAnsi" w:hAnsiTheme="minorHAnsi" w:cstheme="minorHAnsi"/>
          <w:b/>
          <w:sz w:val="44"/>
          <w:szCs w:val="44"/>
        </w:rPr>
      </w:pPr>
      <w:r w:rsidRPr="003E74C0">
        <w:rPr>
          <w:rFonts w:asciiTheme="minorHAnsi" w:hAnsiTheme="minorHAnsi" w:cstheme="minorHAnsi"/>
          <w:b/>
          <w:sz w:val="44"/>
          <w:szCs w:val="44"/>
        </w:rPr>
        <w:t>Policies and Procedures</w:t>
      </w:r>
    </w:p>
    <w:p w14:paraId="5D0EF697" w14:textId="77777777" w:rsidR="000D2D29" w:rsidRPr="00CA2715" w:rsidRDefault="000D2D29" w:rsidP="009639FB">
      <w:pPr>
        <w:jc w:val="center"/>
        <w:rPr>
          <w:rFonts w:asciiTheme="minorHAnsi" w:hAnsiTheme="minorHAnsi" w:cstheme="minorHAnsi"/>
          <w:b/>
          <w:sz w:val="48"/>
          <w:szCs w:val="48"/>
        </w:rPr>
      </w:pPr>
    </w:p>
    <w:p w14:paraId="2216D94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19AF54D"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0C169C3"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70308B2"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A7190F8"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1D3610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53ED303"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6320935"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8981E68"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ED341B0"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98BE8D6"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77022C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3F3C9C5"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A90665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0B37818"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012EBB1"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0E896E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5F20AB3"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1913C49"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BC28C65"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190CA4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AAD83A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DA0606E"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CA03B3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A0D31B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739B0F8"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B46F25D"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BCC8C36"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12BD6D3"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9DD2302"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394F312"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43DD061" w14:textId="77777777" w:rsidR="006E48D4" w:rsidRDefault="006E48D4" w:rsidP="006E48D4">
      <w:pPr>
        <w:autoSpaceDE w:val="0"/>
        <w:autoSpaceDN w:val="0"/>
        <w:adjustRightInd w:val="0"/>
        <w:jc w:val="left"/>
        <w:rPr>
          <w:rFonts w:asciiTheme="minorHAnsi" w:hAnsiTheme="minorHAnsi" w:cstheme="minorHAnsi"/>
          <w:sz w:val="24"/>
          <w:szCs w:val="24"/>
        </w:rPr>
      </w:pPr>
      <w:r w:rsidRPr="00CA2715">
        <w:rPr>
          <w:rFonts w:asciiTheme="minorHAnsi" w:hAnsiTheme="minorHAnsi" w:cstheme="minorHAnsi"/>
          <w:sz w:val="24"/>
          <w:szCs w:val="24"/>
        </w:rPr>
        <w:t xml:space="preserve">The </w:t>
      </w:r>
      <w:r>
        <w:rPr>
          <w:rFonts w:asciiTheme="minorHAnsi" w:hAnsiTheme="minorHAnsi" w:cstheme="minorHAnsi"/>
          <w:sz w:val="24"/>
          <w:szCs w:val="24"/>
        </w:rPr>
        <w:t xml:space="preserve">UES Gas Commercial Energy Solutions </w:t>
      </w:r>
      <w:r w:rsidRPr="00CA2715">
        <w:rPr>
          <w:rFonts w:asciiTheme="minorHAnsi" w:hAnsiTheme="minorHAnsi" w:cstheme="minorHAnsi"/>
          <w:sz w:val="24"/>
          <w:szCs w:val="24"/>
        </w:rPr>
        <w:t xml:space="preserve">program </w:t>
      </w:r>
      <w:r>
        <w:rPr>
          <w:rFonts w:asciiTheme="minorHAnsi" w:hAnsiTheme="minorHAnsi" w:cstheme="minorHAnsi"/>
          <w:sz w:val="24"/>
          <w:szCs w:val="24"/>
        </w:rPr>
        <w:t xml:space="preserve">is </w:t>
      </w:r>
      <w:r w:rsidRPr="00CA2715">
        <w:rPr>
          <w:rFonts w:asciiTheme="minorHAnsi" w:hAnsiTheme="minorHAnsi" w:cstheme="minorHAnsi"/>
          <w:sz w:val="24"/>
          <w:szCs w:val="24"/>
        </w:rPr>
        <w:t xml:space="preserve">administered by DNV GL Energy </w:t>
      </w:r>
      <w:r>
        <w:rPr>
          <w:rFonts w:asciiTheme="minorHAnsi" w:hAnsiTheme="minorHAnsi" w:cstheme="minorHAnsi"/>
          <w:sz w:val="24"/>
          <w:szCs w:val="24"/>
        </w:rPr>
        <w:t>Services (DNV GL) on behalf of UniSource Energy Services</w:t>
      </w:r>
      <w:r w:rsidRPr="00CA2715">
        <w:rPr>
          <w:rFonts w:asciiTheme="minorHAnsi" w:hAnsiTheme="minorHAnsi" w:cstheme="minorHAnsi"/>
          <w:sz w:val="24"/>
          <w:szCs w:val="24"/>
        </w:rPr>
        <w:t xml:space="preserve">. This program is funded by </w:t>
      </w:r>
      <w:r>
        <w:rPr>
          <w:rFonts w:asciiTheme="minorHAnsi" w:hAnsiTheme="minorHAnsi" w:cstheme="minorHAnsi"/>
          <w:sz w:val="24"/>
          <w:szCs w:val="24"/>
        </w:rPr>
        <w:t>UES gas</w:t>
      </w:r>
      <w:r w:rsidRPr="00CA2715">
        <w:rPr>
          <w:rFonts w:asciiTheme="minorHAnsi" w:hAnsiTheme="minorHAnsi" w:cstheme="minorHAnsi"/>
          <w:sz w:val="24"/>
          <w:szCs w:val="24"/>
        </w:rPr>
        <w:t xml:space="preserve"> customers as approved by the </w:t>
      </w:r>
      <w:r>
        <w:rPr>
          <w:rFonts w:asciiTheme="minorHAnsi" w:hAnsiTheme="minorHAnsi" w:cstheme="minorHAnsi"/>
          <w:sz w:val="24"/>
          <w:szCs w:val="24"/>
        </w:rPr>
        <w:t xml:space="preserve">Arizona Corporation Commission. </w:t>
      </w:r>
      <w:r w:rsidRPr="00356CB6">
        <w:rPr>
          <w:rFonts w:asciiTheme="minorHAnsi" w:hAnsiTheme="minorHAnsi" w:cstheme="minorHAnsi"/>
          <w:sz w:val="24"/>
          <w:szCs w:val="24"/>
        </w:rPr>
        <w:t xml:space="preserve">The Commercial Energy Solutions program offers </w:t>
      </w:r>
      <w:r w:rsidRPr="003E74C0">
        <w:rPr>
          <w:rFonts w:asciiTheme="minorHAnsi" w:hAnsiTheme="minorHAnsi" w:cstheme="minorHAnsi"/>
          <w:sz w:val="24"/>
          <w:szCs w:val="24"/>
        </w:rPr>
        <w:t>Prescriptive</w:t>
      </w:r>
      <w:r w:rsidRPr="00356CB6">
        <w:rPr>
          <w:rFonts w:asciiTheme="minorHAnsi" w:hAnsiTheme="minorHAnsi" w:cstheme="minorHAnsi"/>
          <w:sz w:val="24"/>
          <w:szCs w:val="24"/>
        </w:rPr>
        <w:t xml:space="preserve"> Incentives for energy efficiency equipment upgrades and improvements. Incentives are provided for qualified equipment commonly installed in a retrofit, major renovation or new construction project.</w:t>
      </w:r>
    </w:p>
    <w:p w14:paraId="02700716" w14:textId="77777777" w:rsidR="00CC1F22" w:rsidRDefault="00CC1F22">
      <w:pPr>
        <w:spacing w:after="160" w:line="259" w:lineRule="auto"/>
        <w:jc w:val="left"/>
        <w:rPr>
          <w:rFonts w:asciiTheme="minorHAnsi" w:hAnsiTheme="minorHAnsi" w:cstheme="minorHAnsi"/>
          <w:sz w:val="24"/>
          <w:szCs w:val="24"/>
        </w:rPr>
      </w:pPr>
      <w:r>
        <w:rPr>
          <w:rFonts w:asciiTheme="minorHAnsi" w:hAnsiTheme="minorHAnsi" w:cstheme="minorHAnsi"/>
          <w:sz w:val="24"/>
          <w:szCs w:val="24"/>
        </w:rPr>
        <w:br w:type="page"/>
      </w:r>
    </w:p>
    <w:p w14:paraId="596B82F9" w14:textId="77777777" w:rsidR="004300E4" w:rsidRPr="00CA2715" w:rsidRDefault="004300E4" w:rsidP="0056447B">
      <w:pPr>
        <w:rPr>
          <w:rFonts w:asciiTheme="minorHAnsi" w:hAnsiTheme="minorHAnsi" w:cstheme="minorHAnsi"/>
          <w:b/>
          <w:u w:val="single"/>
        </w:rPr>
      </w:pPr>
    </w:p>
    <w:sdt>
      <w:sdtPr>
        <w:rPr>
          <w:rFonts w:asciiTheme="minorHAnsi" w:eastAsia="Times New Roman" w:hAnsiTheme="minorHAnsi" w:cstheme="minorHAnsi"/>
          <w:color w:val="auto"/>
          <w:sz w:val="22"/>
          <w:szCs w:val="20"/>
        </w:rPr>
        <w:id w:val="-1090697495"/>
        <w:docPartObj>
          <w:docPartGallery w:val="Table of Contents"/>
          <w:docPartUnique/>
        </w:docPartObj>
      </w:sdtPr>
      <w:sdtEndPr/>
      <w:sdtContent>
        <w:p w14:paraId="0C8C63B3" w14:textId="77777777" w:rsidR="002B3621" w:rsidRPr="00CA2715" w:rsidRDefault="002B3621" w:rsidP="00CA2715">
          <w:pPr>
            <w:pStyle w:val="TOCHeading"/>
            <w:jc w:val="center"/>
            <w:rPr>
              <w:rFonts w:asciiTheme="minorHAnsi" w:hAnsiTheme="minorHAnsi" w:cstheme="minorHAnsi"/>
            </w:rPr>
          </w:pPr>
          <w:r w:rsidRPr="00CA2715">
            <w:rPr>
              <w:rFonts w:asciiTheme="minorHAnsi" w:hAnsiTheme="minorHAnsi" w:cstheme="minorHAnsi"/>
            </w:rPr>
            <w:t>Table of Contents</w:t>
          </w:r>
        </w:p>
        <w:p w14:paraId="00D98A52" w14:textId="77777777" w:rsidR="00EC688F" w:rsidRDefault="002B3621">
          <w:pPr>
            <w:pStyle w:val="TOC1"/>
            <w:rPr>
              <w:rFonts w:asciiTheme="minorHAnsi" w:eastAsiaTheme="minorEastAsia" w:hAnsiTheme="minorHAnsi" w:cstheme="minorBidi"/>
              <w:szCs w:val="22"/>
            </w:rPr>
          </w:pPr>
          <w:r w:rsidRPr="00DD26CD">
            <w:rPr>
              <w:rFonts w:asciiTheme="minorHAnsi" w:hAnsiTheme="minorHAnsi" w:cstheme="minorHAnsi"/>
            </w:rPr>
            <w:fldChar w:fldCharType="begin"/>
          </w:r>
          <w:r w:rsidRPr="00DD26CD">
            <w:rPr>
              <w:rFonts w:asciiTheme="minorHAnsi" w:hAnsiTheme="minorHAnsi" w:cstheme="minorHAnsi"/>
            </w:rPr>
            <w:instrText xml:space="preserve"> TOC \o "1-3" \h \z \u </w:instrText>
          </w:r>
          <w:r w:rsidRPr="00DD26CD">
            <w:rPr>
              <w:rFonts w:asciiTheme="minorHAnsi" w:hAnsiTheme="minorHAnsi" w:cstheme="minorHAnsi"/>
            </w:rPr>
            <w:fldChar w:fldCharType="separate"/>
          </w:r>
          <w:hyperlink w:anchor="_Toc511996609" w:history="1">
            <w:r w:rsidR="00EC688F" w:rsidRPr="00537A1F">
              <w:rPr>
                <w:rStyle w:val="Hyperlink"/>
                <w:rFonts w:ascii="Calibri" w:hAnsi="Calibri" w:cs="Calibri"/>
              </w:rPr>
              <w:t>1.</w:t>
            </w:r>
            <w:r w:rsidR="00EC688F">
              <w:rPr>
                <w:rFonts w:asciiTheme="minorHAnsi" w:eastAsiaTheme="minorEastAsia" w:hAnsiTheme="minorHAnsi" w:cstheme="minorBidi"/>
                <w:szCs w:val="22"/>
              </w:rPr>
              <w:tab/>
            </w:r>
            <w:r w:rsidR="00EC688F" w:rsidRPr="00537A1F">
              <w:rPr>
                <w:rStyle w:val="Hyperlink"/>
                <w:rFonts w:cstheme="minorHAnsi"/>
              </w:rPr>
              <w:t>Program Overview</w:t>
            </w:r>
            <w:r w:rsidR="00EC688F">
              <w:rPr>
                <w:webHidden/>
              </w:rPr>
              <w:tab/>
            </w:r>
            <w:r w:rsidR="00EC688F">
              <w:rPr>
                <w:webHidden/>
              </w:rPr>
              <w:fldChar w:fldCharType="begin"/>
            </w:r>
            <w:r w:rsidR="00EC688F">
              <w:rPr>
                <w:webHidden/>
              </w:rPr>
              <w:instrText xml:space="preserve"> PAGEREF _Toc511996609 \h </w:instrText>
            </w:r>
            <w:r w:rsidR="00EC688F">
              <w:rPr>
                <w:webHidden/>
              </w:rPr>
            </w:r>
            <w:r w:rsidR="00EC688F">
              <w:rPr>
                <w:webHidden/>
              </w:rPr>
              <w:fldChar w:fldCharType="separate"/>
            </w:r>
            <w:r w:rsidR="00EC688F">
              <w:rPr>
                <w:webHidden/>
              </w:rPr>
              <w:t>4</w:t>
            </w:r>
            <w:r w:rsidR="00EC688F">
              <w:rPr>
                <w:webHidden/>
              </w:rPr>
              <w:fldChar w:fldCharType="end"/>
            </w:r>
          </w:hyperlink>
        </w:p>
        <w:p w14:paraId="349C196C" w14:textId="77777777" w:rsidR="00EC688F" w:rsidRDefault="00A73C9B">
          <w:pPr>
            <w:pStyle w:val="TOC1"/>
            <w:rPr>
              <w:rFonts w:asciiTheme="minorHAnsi" w:eastAsiaTheme="minorEastAsia" w:hAnsiTheme="minorHAnsi" w:cstheme="minorBidi"/>
              <w:szCs w:val="22"/>
            </w:rPr>
          </w:pPr>
          <w:hyperlink w:anchor="_Toc511996610" w:history="1">
            <w:r w:rsidR="00EC688F" w:rsidRPr="00537A1F">
              <w:rPr>
                <w:rStyle w:val="Hyperlink"/>
                <w:rFonts w:ascii="Calibri" w:hAnsi="Calibri" w:cs="Calibri"/>
              </w:rPr>
              <w:t>2.</w:t>
            </w:r>
            <w:r w:rsidR="00EC688F">
              <w:rPr>
                <w:rFonts w:asciiTheme="minorHAnsi" w:eastAsiaTheme="minorEastAsia" w:hAnsiTheme="minorHAnsi" w:cstheme="minorBidi"/>
                <w:szCs w:val="22"/>
              </w:rPr>
              <w:tab/>
            </w:r>
            <w:r w:rsidR="00EC688F" w:rsidRPr="00537A1F">
              <w:rPr>
                <w:rStyle w:val="Hyperlink"/>
                <w:rFonts w:cstheme="minorHAnsi"/>
              </w:rPr>
              <w:t>Program Marketing</w:t>
            </w:r>
            <w:r w:rsidR="00EC688F">
              <w:rPr>
                <w:webHidden/>
              </w:rPr>
              <w:tab/>
            </w:r>
            <w:r w:rsidR="00EC688F">
              <w:rPr>
                <w:webHidden/>
              </w:rPr>
              <w:fldChar w:fldCharType="begin"/>
            </w:r>
            <w:r w:rsidR="00EC688F">
              <w:rPr>
                <w:webHidden/>
              </w:rPr>
              <w:instrText xml:space="preserve"> PAGEREF _Toc511996610 \h </w:instrText>
            </w:r>
            <w:r w:rsidR="00EC688F">
              <w:rPr>
                <w:webHidden/>
              </w:rPr>
            </w:r>
            <w:r w:rsidR="00EC688F">
              <w:rPr>
                <w:webHidden/>
              </w:rPr>
              <w:fldChar w:fldCharType="separate"/>
            </w:r>
            <w:r w:rsidR="00EC688F">
              <w:rPr>
                <w:webHidden/>
              </w:rPr>
              <w:t>4</w:t>
            </w:r>
            <w:r w:rsidR="00EC688F">
              <w:rPr>
                <w:webHidden/>
              </w:rPr>
              <w:fldChar w:fldCharType="end"/>
            </w:r>
          </w:hyperlink>
        </w:p>
        <w:p w14:paraId="63880F76" w14:textId="77777777" w:rsidR="00EC688F" w:rsidRDefault="00A73C9B">
          <w:pPr>
            <w:pStyle w:val="TOC1"/>
            <w:rPr>
              <w:rFonts w:asciiTheme="minorHAnsi" w:eastAsiaTheme="minorEastAsia" w:hAnsiTheme="minorHAnsi" w:cstheme="minorBidi"/>
              <w:szCs w:val="22"/>
            </w:rPr>
          </w:pPr>
          <w:hyperlink w:anchor="_Toc511996611" w:history="1">
            <w:r w:rsidR="00EC688F" w:rsidRPr="00537A1F">
              <w:rPr>
                <w:rStyle w:val="Hyperlink"/>
                <w:rFonts w:ascii="Calibri" w:hAnsi="Calibri" w:cs="Calibri"/>
              </w:rPr>
              <w:t>3.</w:t>
            </w:r>
            <w:r w:rsidR="00EC688F">
              <w:rPr>
                <w:rFonts w:asciiTheme="minorHAnsi" w:eastAsiaTheme="minorEastAsia" w:hAnsiTheme="minorHAnsi" w:cstheme="minorBidi"/>
                <w:szCs w:val="22"/>
              </w:rPr>
              <w:tab/>
            </w:r>
            <w:r w:rsidR="00EC688F" w:rsidRPr="00537A1F">
              <w:rPr>
                <w:rStyle w:val="Hyperlink"/>
                <w:rFonts w:cstheme="minorHAnsi"/>
              </w:rPr>
              <w:t>Customer Eligibility</w:t>
            </w:r>
            <w:r w:rsidR="00EC688F">
              <w:rPr>
                <w:webHidden/>
              </w:rPr>
              <w:tab/>
            </w:r>
            <w:r w:rsidR="00EC688F">
              <w:rPr>
                <w:webHidden/>
              </w:rPr>
              <w:fldChar w:fldCharType="begin"/>
            </w:r>
            <w:r w:rsidR="00EC688F">
              <w:rPr>
                <w:webHidden/>
              </w:rPr>
              <w:instrText xml:space="preserve"> PAGEREF _Toc511996611 \h </w:instrText>
            </w:r>
            <w:r w:rsidR="00EC688F">
              <w:rPr>
                <w:webHidden/>
              </w:rPr>
            </w:r>
            <w:r w:rsidR="00EC688F">
              <w:rPr>
                <w:webHidden/>
              </w:rPr>
              <w:fldChar w:fldCharType="separate"/>
            </w:r>
            <w:r w:rsidR="00EC688F">
              <w:rPr>
                <w:webHidden/>
              </w:rPr>
              <w:t>4</w:t>
            </w:r>
            <w:r w:rsidR="00EC688F">
              <w:rPr>
                <w:webHidden/>
              </w:rPr>
              <w:fldChar w:fldCharType="end"/>
            </w:r>
          </w:hyperlink>
        </w:p>
        <w:p w14:paraId="75C6154B" w14:textId="77777777" w:rsidR="00EC688F" w:rsidRDefault="00A73C9B">
          <w:pPr>
            <w:pStyle w:val="TOC1"/>
            <w:rPr>
              <w:rFonts w:asciiTheme="minorHAnsi" w:eastAsiaTheme="minorEastAsia" w:hAnsiTheme="minorHAnsi" w:cstheme="minorBidi"/>
              <w:szCs w:val="22"/>
            </w:rPr>
          </w:pPr>
          <w:hyperlink w:anchor="_Toc511996612" w:history="1">
            <w:r w:rsidR="00EC688F" w:rsidRPr="00537A1F">
              <w:rPr>
                <w:rStyle w:val="Hyperlink"/>
                <w:rFonts w:ascii="Calibri" w:hAnsi="Calibri" w:cs="Calibri"/>
              </w:rPr>
              <w:t>4.</w:t>
            </w:r>
            <w:r w:rsidR="00EC688F">
              <w:rPr>
                <w:rFonts w:asciiTheme="minorHAnsi" w:eastAsiaTheme="minorEastAsia" w:hAnsiTheme="minorHAnsi" w:cstheme="minorBidi"/>
                <w:szCs w:val="22"/>
              </w:rPr>
              <w:tab/>
            </w:r>
            <w:r w:rsidR="00EC688F" w:rsidRPr="00537A1F">
              <w:rPr>
                <w:rStyle w:val="Hyperlink"/>
                <w:rFonts w:cstheme="minorHAnsi"/>
              </w:rPr>
              <w:t>Tax Implications</w:t>
            </w:r>
            <w:r w:rsidR="00EC688F">
              <w:rPr>
                <w:webHidden/>
              </w:rPr>
              <w:tab/>
            </w:r>
            <w:r w:rsidR="00EC688F">
              <w:rPr>
                <w:webHidden/>
              </w:rPr>
              <w:fldChar w:fldCharType="begin"/>
            </w:r>
            <w:r w:rsidR="00EC688F">
              <w:rPr>
                <w:webHidden/>
              </w:rPr>
              <w:instrText xml:space="preserve"> PAGEREF _Toc511996612 \h </w:instrText>
            </w:r>
            <w:r w:rsidR="00EC688F">
              <w:rPr>
                <w:webHidden/>
              </w:rPr>
            </w:r>
            <w:r w:rsidR="00EC688F">
              <w:rPr>
                <w:webHidden/>
              </w:rPr>
              <w:fldChar w:fldCharType="separate"/>
            </w:r>
            <w:r w:rsidR="00EC688F">
              <w:rPr>
                <w:webHidden/>
              </w:rPr>
              <w:t>4</w:t>
            </w:r>
            <w:r w:rsidR="00EC688F">
              <w:rPr>
                <w:webHidden/>
              </w:rPr>
              <w:fldChar w:fldCharType="end"/>
            </w:r>
          </w:hyperlink>
        </w:p>
        <w:p w14:paraId="4B2BC44C" w14:textId="77777777" w:rsidR="00EC688F" w:rsidRDefault="00A73C9B">
          <w:pPr>
            <w:pStyle w:val="TOC1"/>
            <w:rPr>
              <w:rFonts w:asciiTheme="minorHAnsi" w:eastAsiaTheme="minorEastAsia" w:hAnsiTheme="minorHAnsi" w:cstheme="minorBidi"/>
              <w:szCs w:val="22"/>
            </w:rPr>
          </w:pPr>
          <w:hyperlink w:anchor="_Toc511996613" w:history="1">
            <w:r w:rsidR="00EC688F" w:rsidRPr="00537A1F">
              <w:rPr>
                <w:rStyle w:val="Hyperlink"/>
                <w:rFonts w:ascii="Calibri" w:hAnsi="Calibri" w:cs="Calibri"/>
              </w:rPr>
              <w:t>5.</w:t>
            </w:r>
            <w:r w:rsidR="00EC688F">
              <w:rPr>
                <w:rFonts w:asciiTheme="minorHAnsi" w:eastAsiaTheme="minorEastAsia" w:hAnsiTheme="minorHAnsi" w:cstheme="minorBidi"/>
                <w:szCs w:val="22"/>
              </w:rPr>
              <w:tab/>
            </w:r>
            <w:r w:rsidR="00EC688F" w:rsidRPr="00537A1F">
              <w:rPr>
                <w:rStyle w:val="Hyperlink"/>
                <w:rFonts w:cstheme="minorHAnsi"/>
              </w:rPr>
              <w:t>Project Terms and Conditions</w:t>
            </w:r>
            <w:r w:rsidR="00EC688F">
              <w:rPr>
                <w:webHidden/>
              </w:rPr>
              <w:tab/>
            </w:r>
            <w:r w:rsidR="00EC688F">
              <w:rPr>
                <w:webHidden/>
              </w:rPr>
              <w:fldChar w:fldCharType="begin"/>
            </w:r>
            <w:r w:rsidR="00EC688F">
              <w:rPr>
                <w:webHidden/>
              </w:rPr>
              <w:instrText xml:space="preserve"> PAGEREF _Toc511996613 \h </w:instrText>
            </w:r>
            <w:r w:rsidR="00EC688F">
              <w:rPr>
                <w:webHidden/>
              </w:rPr>
            </w:r>
            <w:r w:rsidR="00EC688F">
              <w:rPr>
                <w:webHidden/>
              </w:rPr>
              <w:fldChar w:fldCharType="separate"/>
            </w:r>
            <w:r w:rsidR="00EC688F">
              <w:rPr>
                <w:webHidden/>
              </w:rPr>
              <w:t>5</w:t>
            </w:r>
            <w:r w:rsidR="00EC688F">
              <w:rPr>
                <w:webHidden/>
              </w:rPr>
              <w:fldChar w:fldCharType="end"/>
            </w:r>
          </w:hyperlink>
        </w:p>
        <w:p w14:paraId="691680BB" w14:textId="77777777" w:rsidR="00EC688F" w:rsidRDefault="00A73C9B">
          <w:pPr>
            <w:pStyle w:val="TOC1"/>
            <w:rPr>
              <w:rFonts w:asciiTheme="minorHAnsi" w:eastAsiaTheme="minorEastAsia" w:hAnsiTheme="minorHAnsi" w:cstheme="minorBidi"/>
              <w:szCs w:val="22"/>
            </w:rPr>
          </w:pPr>
          <w:hyperlink w:anchor="_Toc511996614" w:history="1">
            <w:r w:rsidR="00EC688F" w:rsidRPr="00537A1F">
              <w:rPr>
                <w:rStyle w:val="Hyperlink"/>
                <w:rFonts w:ascii="Calibri" w:hAnsi="Calibri" w:cs="Calibri"/>
              </w:rPr>
              <w:t>6.</w:t>
            </w:r>
            <w:r w:rsidR="00EC688F">
              <w:rPr>
                <w:rFonts w:asciiTheme="minorHAnsi" w:eastAsiaTheme="minorEastAsia" w:hAnsiTheme="minorHAnsi" w:cstheme="minorBidi"/>
                <w:szCs w:val="22"/>
              </w:rPr>
              <w:tab/>
            </w:r>
            <w:r w:rsidR="00EC688F" w:rsidRPr="00537A1F">
              <w:rPr>
                <w:rStyle w:val="Hyperlink"/>
                <w:rFonts w:cstheme="minorHAnsi"/>
              </w:rPr>
              <w:t>Rebate Caps</w:t>
            </w:r>
            <w:r w:rsidR="00EC688F">
              <w:rPr>
                <w:webHidden/>
              </w:rPr>
              <w:tab/>
            </w:r>
            <w:r w:rsidR="00EC688F">
              <w:rPr>
                <w:webHidden/>
              </w:rPr>
              <w:fldChar w:fldCharType="begin"/>
            </w:r>
            <w:r w:rsidR="00EC688F">
              <w:rPr>
                <w:webHidden/>
              </w:rPr>
              <w:instrText xml:space="preserve"> PAGEREF _Toc511996614 \h </w:instrText>
            </w:r>
            <w:r w:rsidR="00EC688F">
              <w:rPr>
                <w:webHidden/>
              </w:rPr>
            </w:r>
            <w:r w:rsidR="00EC688F">
              <w:rPr>
                <w:webHidden/>
              </w:rPr>
              <w:fldChar w:fldCharType="separate"/>
            </w:r>
            <w:r w:rsidR="00EC688F">
              <w:rPr>
                <w:webHidden/>
              </w:rPr>
              <w:t>6</w:t>
            </w:r>
            <w:r w:rsidR="00EC688F">
              <w:rPr>
                <w:webHidden/>
              </w:rPr>
              <w:fldChar w:fldCharType="end"/>
            </w:r>
          </w:hyperlink>
        </w:p>
        <w:p w14:paraId="1F558012" w14:textId="77777777" w:rsidR="00EC688F" w:rsidRDefault="00A73C9B">
          <w:pPr>
            <w:pStyle w:val="TOC2"/>
            <w:rPr>
              <w:rFonts w:asciiTheme="minorHAnsi" w:eastAsiaTheme="minorEastAsia" w:hAnsiTheme="minorHAnsi" w:cstheme="minorBidi"/>
              <w:szCs w:val="22"/>
            </w:rPr>
          </w:pPr>
          <w:hyperlink w:anchor="_Toc511996615" w:history="1">
            <w:r w:rsidR="00EC688F" w:rsidRPr="00537A1F">
              <w:rPr>
                <w:rStyle w:val="Hyperlink"/>
                <w:rFonts w:ascii="Calibri" w:hAnsi="Calibri" w:cs="Calibri"/>
              </w:rPr>
              <w:t>6.1</w:t>
            </w:r>
            <w:r w:rsidR="00EC688F">
              <w:rPr>
                <w:rFonts w:asciiTheme="minorHAnsi" w:eastAsiaTheme="minorEastAsia" w:hAnsiTheme="minorHAnsi" w:cstheme="minorBidi"/>
                <w:szCs w:val="22"/>
              </w:rPr>
              <w:tab/>
            </w:r>
            <w:r w:rsidR="00EC688F" w:rsidRPr="00537A1F">
              <w:rPr>
                <w:rStyle w:val="Hyperlink"/>
                <w:rFonts w:cstheme="minorHAnsi"/>
              </w:rPr>
              <w:t>Customer Cap</w:t>
            </w:r>
            <w:r w:rsidR="00EC688F">
              <w:rPr>
                <w:webHidden/>
              </w:rPr>
              <w:tab/>
            </w:r>
            <w:r w:rsidR="00EC688F">
              <w:rPr>
                <w:webHidden/>
              </w:rPr>
              <w:fldChar w:fldCharType="begin"/>
            </w:r>
            <w:r w:rsidR="00EC688F">
              <w:rPr>
                <w:webHidden/>
              </w:rPr>
              <w:instrText xml:space="preserve"> PAGEREF _Toc511996615 \h </w:instrText>
            </w:r>
            <w:r w:rsidR="00EC688F">
              <w:rPr>
                <w:webHidden/>
              </w:rPr>
            </w:r>
            <w:r w:rsidR="00EC688F">
              <w:rPr>
                <w:webHidden/>
              </w:rPr>
              <w:fldChar w:fldCharType="separate"/>
            </w:r>
            <w:r w:rsidR="00EC688F">
              <w:rPr>
                <w:webHidden/>
              </w:rPr>
              <w:t>7</w:t>
            </w:r>
            <w:r w:rsidR="00EC688F">
              <w:rPr>
                <w:webHidden/>
              </w:rPr>
              <w:fldChar w:fldCharType="end"/>
            </w:r>
          </w:hyperlink>
        </w:p>
        <w:p w14:paraId="2E1EE8DD" w14:textId="77777777" w:rsidR="00EC688F" w:rsidRDefault="00A73C9B">
          <w:pPr>
            <w:pStyle w:val="TOC2"/>
            <w:rPr>
              <w:rFonts w:asciiTheme="minorHAnsi" w:eastAsiaTheme="minorEastAsia" w:hAnsiTheme="minorHAnsi" w:cstheme="minorBidi"/>
              <w:szCs w:val="22"/>
            </w:rPr>
          </w:pPr>
          <w:hyperlink w:anchor="_Toc511996616" w:history="1">
            <w:r w:rsidR="00EC688F" w:rsidRPr="00537A1F">
              <w:rPr>
                <w:rStyle w:val="Hyperlink"/>
                <w:rFonts w:ascii="Calibri" w:hAnsi="Calibri" w:cs="Calibri"/>
              </w:rPr>
              <w:t>6.2</w:t>
            </w:r>
            <w:r w:rsidR="00EC688F">
              <w:rPr>
                <w:rFonts w:asciiTheme="minorHAnsi" w:eastAsiaTheme="minorEastAsia" w:hAnsiTheme="minorHAnsi" w:cstheme="minorBidi"/>
                <w:szCs w:val="22"/>
              </w:rPr>
              <w:tab/>
            </w:r>
            <w:r w:rsidR="00EC688F" w:rsidRPr="00537A1F">
              <w:rPr>
                <w:rStyle w:val="Hyperlink"/>
                <w:rFonts w:cstheme="minorHAnsi"/>
              </w:rPr>
              <w:t>Measure Cap</w:t>
            </w:r>
            <w:r w:rsidR="00EC688F">
              <w:rPr>
                <w:webHidden/>
              </w:rPr>
              <w:tab/>
            </w:r>
            <w:r w:rsidR="00EC688F">
              <w:rPr>
                <w:webHidden/>
              </w:rPr>
              <w:fldChar w:fldCharType="begin"/>
            </w:r>
            <w:r w:rsidR="00EC688F">
              <w:rPr>
                <w:webHidden/>
              </w:rPr>
              <w:instrText xml:space="preserve"> PAGEREF _Toc511996616 \h </w:instrText>
            </w:r>
            <w:r w:rsidR="00EC688F">
              <w:rPr>
                <w:webHidden/>
              </w:rPr>
            </w:r>
            <w:r w:rsidR="00EC688F">
              <w:rPr>
                <w:webHidden/>
              </w:rPr>
              <w:fldChar w:fldCharType="separate"/>
            </w:r>
            <w:r w:rsidR="00EC688F">
              <w:rPr>
                <w:webHidden/>
              </w:rPr>
              <w:t>7</w:t>
            </w:r>
            <w:r w:rsidR="00EC688F">
              <w:rPr>
                <w:webHidden/>
              </w:rPr>
              <w:fldChar w:fldCharType="end"/>
            </w:r>
          </w:hyperlink>
        </w:p>
        <w:p w14:paraId="72D83435" w14:textId="77777777" w:rsidR="00EC688F" w:rsidRDefault="00A73C9B">
          <w:pPr>
            <w:pStyle w:val="TOC1"/>
            <w:rPr>
              <w:rFonts w:asciiTheme="minorHAnsi" w:eastAsiaTheme="minorEastAsia" w:hAnsiTheme="minorHAnsi" w:cstheme="minorBidi"/>
              <w:szCs w:val="22"/>
            </w:rPr>
          </w:pPr>
          <w:hyperlink w:anchor="_Toc511996617" w:history="1">
            <w:r w:rsidR="00EC688F" w:rsidRPr="00537A1F">
              <w:rPr>
                <w:rStyle w:val="Hyperlink"/>
                <w:rFonts w:ascii="Calibri" w:hAnsi="Calibri" w:cs="Calibri"/>
              </w:rPr>
              <w:t>7.</w:t>
            </w:r>
            <w:r w:rsidR="00EC688F">
              <w:rPr>
                <w:rFonts w:asciiTheme="minorHAnsi" w:eastAsiaTheme="minorEastAsia" w:hAnsiTheme="minorHAnsi" w:cstheme="minorBidi"/>
                <w:szCs w:val="22"/>
              </w:rPr>
              <w:tab/>
            </w:r>
            <w:r w:rsidR="00EC688F" w:rsidRPr="00537A1F">
              <w:rPr>
                <w:rStyle w:val="Hyperlink"/>
                <w:rFonts w:cstheme="minorHAnsi"/>
              </w:rPr>
              <w:t>Types of Rebates</w:t>
            </w:r>
            <w:r w:rsidR="00EC688F">
              <w:rPr>
                <w:webHidden/>
              </w:rPr>
              <w:tab/>
            </w:r>
            <w:r w:rsidR="00EC688F">
              <w:rPr>
                <w:webHidden/>
              </w:rPr>
              <w:fldChar w:fldCharType="begin"/>
            </w:r>
            <w:r w:rsidR="00EC688F">
              <w:rPr>
                <w:webHidden/>
              </w:rPr>
              <w:instrText xml:space="preserve"> PAGEREF _Toc511996617 \h </w:instrText>
            </w:r>
            <w:r w:rsidR="00EC688F">
              <w:rPr>
                <w:webHidden/>
              </w:rPr>
            </w:r>
            <w:r w:rsidR="00EC688F">
              <w:rPr>
                <w:webHidden/>
              </w:rPr>
              <w:fldChar w:fldCharType="separate"/>
            </w:r>
            <w:r w:rsidR="00EC688F">
              <w:rPr>
                <w:webHidden/>
              </w:rPr>
              <w:t>7</w:t>
            </w:r>
            <w:r w:rsidR="00EC688F">
              <w:rPr>
                <w:webHidden/>
              </w:rPr>
              <w:fldChar w:fldCharType="end"/>
            </w:r>
          </w:hyperlink>
        </w:p>
        <w:p w14:paraId="6B57D1DB" w14:textId="77777777" w:rsidR="00EC688F" w:rsidRDefault="00A73C9B">
          <w:pPr>
            <w:pStyle w:val="TOC2"/>
            <w:rPr>
              <w:rFonts w:asciiTheme="minorHAnsi" w:eastAsiaTheme="minorEastAsia" w:hAnsiTheme="minorHAnsi" w:cstheme="minorBidi"/>
              <w:szCs w:val="22"/>
            </w:rPr>
          </w:pPr>
          <w:hyperlink w:anchor="_Toc511996618" w:history="1">
            <w:r w:rsidR="00EC688F" w:rsidRPr="00537A1F">
              <w:rPr>
                <w:rStyle w:val="Hyperlink"/>
                <w:rFonts w:ascii="Calibri" w:hAnsi="Calibri" w:cs="Calibri"/>
                <w:lang w:val="fr-FR"/>
              </w:rPr>
              <w:t>7.1</w:t>
            </w:r>
            <w:r w:rsidR="00EC688F">
              <w:rPr>
                <w:rFonts w:asciiTheme="minorHAnsi" w:eastAsiaTheme="minorEastAsia" w:hAnsiTheme="minorHAnsi" w:cstheme="minorBidi"/>
                <w:szCs w:val="22"/>
              </w:rPr>
              <w:tab/>
            </w:r>
            <w:r w:rsidR="00EC688F" w:rsidRPr="00537A1F">
              <w:rPr>
                <w:rStyle w:val="Hyperlink"/>
                <w:rFonts w:cstheme="minorHAnsi"/>
                <w:lang w:val="fr-FR"/>
              </w:rPr>
              <w:t>UES Gas Prescriptive Retrofit Rebates</w:t>
            </w:r>
            <w:r w:rsidR="00EC688F">
              <w:rPr>
                <w:webHidden/>
              </w:rPr>
              <w:tab/>
            </w:r>
            <w:r w:rsidR="00EC688F">
              <w:rPr>
                <w:webHidden/>
              </w:rPr>
              <w:fldChar w:fldCharType="begin"/>
            </w:r>
            <w:r w:rsidR="00EC688F">
              <w:rPr>
                <w:webHidden/>
              </w:rPr>
              <w:instrText xml:space="preserve"> PAGEREF _Toc511996618 \h </w:instrText>
            </w:r>
            <w:r w:rsidR="00EC688F">
              <w:rPr>
                <w:webHidden/>
              </w:rPr>
            </w:r>
            <w:r w:rsidR="00EC688F">
              <w:rPr>
                <w:webHidden/>
              </w:rPr>
              <w:fldChar w:fldCharType="separate"/>
            </w:r>
            <w:r w:rsidR="00EC688F">
              <w:rPr>
                <w:webHidden/>
              </w:rPr>
              <w:t>7</w:t>
            </w:r>
            <w:r w:rsidR="00EC688F">
              <w:rPr>
                <w:webHidden/>
              </w:rPr>
              <w:fldChar w:fldCharType="end"/>
            </w:r>
          </w:hyperlink>
        </w:p>
        <w:p w14:paraId="231AC176" w14:textId="77777777" w:rsidR="00EC688F" w:rsidRDefault="00A73C9B">
          <w:pPr>
            <w:pStyle w:val="TOC1"/>
            <w:rPr>
              <w:rFonts w:asciiTheme="minorHAnsi" w:eastAsiaTheme="minorEastAsia" w:hAnsiTheme="minorHAnsi" w:cstheme="minorBidi"/>
              <w:szCs w:val="22"/>
            </w:rPr>
          </w:pPr>
          <w:hyperlink w:anchor="_Toc511996619" w:history="1">
            <w:r w:rsidR="00EC688F" w:rsidRPr="00537A1F">
              <w:rPr>
                <w:rStyle w:val="Hyperlink"/>
                <w:rFonts w:ascii="Calibri" w:hAnsi="Calibri" w:cs="Calibri"/>
              </w:rPr>
              <w:t>8.</w:t>
            </w:r>
            <w:r w:rsidR="00EC688F">
              <w:rPr>
                <w:rFonts w:asciiTheme="minorHAnsi" w:eastAsiaTheme="minorEastAsia" w:hAnsiTheme="minorHAnsi" w:cstheme="minorBidi"/>
                <w:szCs w:val="22"/>
              </w:rPr>
              <w:tab/>
            </w:r>
            <w:r w:rsidR="00EC688F" w:rsidRPr="00537A1F">
              <w:rPr>
                <w:rStyle w:val="Hyperlink"/>
                <w:rFonts w:cstheme="minorHAnsi"/>
              </w:rPr>
              <w:t>Effective Program Dates</w:t>
            </w:r>
            <w:r w:rsidR="00EC688F">
              <w:rPr>
                <w:webHidden/>
              </w:rPr>
              <w:tab/>
            </w:r>
            <w:r w:rsidR="00EC688F">
              <w:rPr>
                <w:webHidden/>
              </w:rPr>
              <w:fldChar w:fldCharType="begin"/>
            </w:r>
            <w:r w:rsidR="00EC688F">
              <w:rPr>
                <w:webHidden/>
              </w:rPr>
              <w:instrText xml:space="preserve"> PAGEREF _Toc511996619 \h </w:instrText>
            </w:r>
            <w:r w:rsidR="00EC688F">
              <w:rPr>
                <w:webHidden/>
              </w:rPr>
            </w:r>
            <w:r w:rsidR="00EC688F">
              <w:rPr>
                <w:webHidden/>
              </w:rPr>
              <w:fldChar w:fldCharType="separate"/>
            </w:r>
            <w:r w:rsidR="00EC688F">
              <w:rPr>
                <w:webHidden/>
              </w:rPr>
              <w:t>8</w:t>
            </w:r>
            <w:r w:rsidR="00EC688F">
              <w:rPr>
                <w:webHidden/>
              </w:rPr>
              <w:fldChar w:fldCharType="end"/>
            </w:r>
          </w:hyperlink>
        </w:p>
        <w:p w14:paraId="547C8BEE" w14:textId="77777777" w:rsidR="00EC688F" w:rsidRDefault="00A73C9B">
          <w:pPr>
            <w:pStyle w:val="TOC1"/>
            <w:rPr>
              <w:rFonts w:asciiTheme="minorHAnsi" w:eastAsiaTheme="minorEastAsia" w:hAnsiTheme="minorHAnsi" w:cstheme="minorBidi"/>
              <w:szCs w:val="22"/>
            </w:rPr>
          </w:pPr>
          <w:hyperlink w:anchor="_Toc511996620" w:history="1">
            <w:r w:rsidR="00EC688F" w:rsidRPr="00537A1F">
              <w:rPr>
                <w:rStyle w:val="Hyperlink"/>
                <w:rFonts w:ascii="Calibri" w:hAnsi="Calibri" w:cs="Calibri"/>
              </w:rPr>
              <w:t>9.</w:t>
            </w:r>
            <w:r w:rsidR="00EC688F">
              <w:rPr>
                <w:rFonts w:asciiTheme="minorHAnsi" w:eastAsiaTheme="minorEastAsia" w:hAnsiTheme="minorHAnsi" w:cstheme="minorBidi"/>
                <w:szCs w:val="22"/>
              </w:rPr>
              <w:tab/>
            </w:r>
            <w:r w:rsidR="00EC688F" w:rsidRPr="00537A1F">
              <w:rPr>
                <w:rStyle w:val="Hyperlink"/>
                <w:rFonts w:cstheme="minorHAnsi"/>
              </w:rPr>
              <w:t>Definition of Application Types</w:t>
            </w:r>
            <w:r w:rsidR="00EC688F">
              <w:rPr>
                <w:webHidden/>
              </w:rPr>
              <w:tab/>
            </w:r>
            <w:r w:rsidR="00EC688F">
              <w:rPr>
                <w:webHidden/>
              </w:rPr>
              <w:fldChar w:fldCharType="begin"/>
            </w:r>
            <w:r w:rsidR="00EC688F">
              <w:rPr>
                <w:webHidden/>
              </w:rPr>
              <w:instrText xml:space="preserve"> PAGEREF _Toc511996620 \h </w:instrText>
            </w:r>
            <w:r w:rsidR="00EC688F">
              <w:rPr>
                <w:webHidden/>
              </w:rPr>
            </w:r>
            <w:r w:rsidR="00EC688F">
              <w:rPr>
                <w:webHidden/>
              </w:rPr>
              <w:fldChar w:fldCharType="separate"/>
            </w:r>
            <w:r w:rsidR="00EC688F">
              <w:rPr>
                <w:webHidden/>
              </w:rPr>
              <w:t>9</w:t>
            </w:r>
            <w:r w:rsidR="00EC688F">
              <w:rPr>
                <w:webHidden/>
              </w:rPr>
              <w:fldChar w:fldCharType="end"/>
            </w:r>
          </w:hyperlink>
        </w:p>
        <w:p w14:paraId="49110EEA" w14:textId="77777777" w:rsidR="00EC688F" w:rsidRDefault="00A73C9B">
          <w:pPr>
            <w:pStyle w:val="TOC1"/>
            <w:rPr>
              <w:rFonts w:asciiTheme="minorHAnsi" w:eastAsiaTheme="minorEastAsia" w:hAnsiTheme="minorHAnsi" w:cstheme="minorBidi"/>
              <w:szCs w:val="22"/>
            </w:rPr>
          </w:pPr>
          <w:hyperlink w:anchor="_Toc511996621" w:history="1">
            <w:r w:rsidR="00EC688F" w:rsidRPr="00537A1F">
              <w:rPr>
                <w:rStyle w:val="Hyperlink"/>
                <w:rFonts w:ascii="Calibri" w:hAnsi="Calibri" w:cs="Calibri"/>
              </w:rPr>
              <w:t>10.</w:t>
            </w:r>
            <w:r w:rsidR="00EC688F">
              <w:rPr>
                <w:rFonts w:asciiTheme="minorHAnsi" w:eastAsiaTheme="minorEastAsia" w:hAnsiTheme="minorHAnsi" w:cstheme="minorBidi"/>
                <w:szCs w:val="22"/>
              </w:rPr>
              <w:tab/>
            </w:r>
            <w:r w:rsidR="00EC688F" w:rsidRPr="00537A1F">
              <w:rPr>
                <w:rStyle w:val="Hyperlink"/>
                <w:rFonts w:cstheme="minorHAnsi"/>
              </w:rPr>
              <w:t>The 6-Step Application Process</w:t>
            </w:r>
            <w:r w:rsidR="00EC688F">
              <w:rPr>
                <w:webHidden/>
              </w:rPr>
              <w:tab/>
            </w:r>
            <w:r w:rsidR="00EC688F">
              <w:rPr>
                <w:webHidden/>
              </w:rPr>
              <w:fldChar w:fldCharType="begin"/>
            </w:r>
            <w:r w:rsidR="00EC688F">
              <w:rPr>
                <w:webHidden/>
              </w:rPr>
              <w:instrText xml:space="preserve"> PAGEREF _Toc511996621 \h </w:instrText>
            </w:r>
            <w:r w:rsidR="00EC688F">
              <w:rPr>
                <w:webHidden/>
              </w:rPr>
            </w:r>
            <w:r w:rsidR="00EC688F">
              <w:rPr>
                <w:webHidden/>
              </w:rPr>
              <w:fldChar w:fldCharType="separate"/>
            </w:r>
            <w:r w:rsidR="00EC688F">
              <w:rPr>
                <w:webHidden/>
              </w:rPr>
              <w:t>10</w:t>
            </w:r>
            <w:r w:rsidR="00EC688F">
              <w:rPr>
                <w:webHidden/>
              </w:rPr>
              <w:fldChar w:fldCharType="end"/>
            </w:r>
          </w:hyperlink>
        </w:p>
        <w:p w14:paraId="2E75FE9A" w14:textId="77777777" w:rsidR="00EC688F" w:rsidRDefault="00A73C9B">
          <w:pPr>
            <w:pStyle w:val="TOC1"/>
            <w:rPr>
              <w:rFonts w:asciiTheme="minorHAnsi" w:eastAsiaTheme="minorEastAsia" w:hAnsiTheme="minorHAnsi" w:cstheme="minorBidi"/>
              <w:szCs w:val="22"/>
            </w:rPr>
          </w:pPr>
          <w:hyperlink w:anchor="_Toc511996622" w:history="1">
            <w:r w:rsidR="00EC688F" w:rsidRPr="00537A1F">
              <w:rPr>
                <w:rStyle w:val="Hyperlink"/>
                <w:rFonts w:ascii="Calibri" w:hAnsi="Calibri" w:cs="Calibri"/>
              </w:rPr>
              <w:t>11.</w:t>
            </w:r>
            <w:r w:rsidR="00EC688F">
              <w:rPr>
                <w:rFonts w:asciiTheme="minorHAnsi" w:eastAsiaTheme="minorEastAsia" w:hAnsiTheme="minorHAnsi" w:cstheme="minorBidi"/>
                <w:szCs w:val="22"/>
              </w:rPr>
              <w:tab/>
            </w:r>
            <w:r w:rsidR="00EC688F" w:rsidRPr="00537A1F">
              <w:rPr>
                <w:rStyle w:val="Hyperlink"/>
                <w:rFonts w:cstheme="minorHAnsi"/>
              </w:rPr>
              <w:t>Inspections</w:t>
            </w:r>
            <w:r w:rsidR="00EC688F">
              <w:rPr>
                <w:webHidden/>
              </w:rPr>
              <w:tab/>
            </w:r>
            <w:r w:rsidR="00EC688F">
              <w:rPr>
                <w:webHidden/>
              </w:rPr>
              <w:fldChar w:fldCharType="begin"/>
            </w:r>
            <w:r w:rsidR="00EC688F">
              <w:rPr>
                <w:webHidden/>
              </w:rPr>
              <w:instrText xml:space="preserve"> PAGEREF _Toc511996622 \h </w:instrText>
            </w:r>
            <w:r w:rsidR="00EC688F">
              <w:rPr>
                <w:webHidden/>
              </w:rPr>
            </w:r>
            <w:r w:rsidR="00EC688F">
              <w:rPr>
                <w:webHidden/>
              </w:rPr>
              <w:fldChar w:fldCharType="separate"/>
            </w:r>
            <w:r w:rsidR="00EC688F">
              <w:rPr>
                <w:webHidden/>
              </w:rPr>
              <w:t>13</w:t>
            </w:r>
            <w:r w:rsidR="00EC688F">
              <w:rPr>
                <w:webHidden/>
              </w:rPr>
              <w:fldChar w:fldCharType="end"/>
            </w:r>
          </w:hyperlink>
        </w:p>
        <w:p w14:paraId="7FB51A61" w14:textId="77777777" w:rsidR="00EC688F" w:rsidRDefault="00A73C9B">
          <w:pPr>
            <w:pStyle w:val="TOC1"/>
            <w:rPr>
              <w:rFonts w:asciiTheme="minorHAnsi" w:eastAsiaTheme="minorEastAsia" w:hAnsiTheme="minorHAnsi" w:cstheme="minorBidi"/>
              <w:szCs w:val="22"/>
            </w:rPr>
          </w:pPr>
          <w:hyperlink w:anchor="_Toc511996623" w:history="1">
            <w:r w:rsidR="00EC688F" w:rsidRPr="00537A1F">
              <w:rPr>
                <w:rStyle w:val="Hyperlink"/>
                <w:rFonts w:ascii="Calibri" w:hAnsi="Calibri" w:cs="Calibri"/>
              </w:rPr>
              <w:t>12.</w:t>
            </w:r>
            <w:r w:rsidR="00EC688F">
              <w:rPr>
                <w:rFonts w:asciiTheme="minorHAnsi" w:eastAsiaTheme="minorEastAsia" w:hAnsiTheme="minorHAnsi" w:cstheme="minorBidi"/>
                <w:szCs w:val="22"/>
              </w:rPr>
              <w:tab/>
            </w:r>
            <w:r w:rsidR="00EC688F" w:rsidRPr="00537A1F">
              <w:rPr>
                <w:rStyle w:val="Hyperlink"/>
                <w:rFonts w:cstheme="minorHAnsi"/>
              </w:rPr>
              <w:t>Payment Process</w:t>
            </w:r>
            <w:r w:rsidR="00EC688F">
              <w:rPr>
                <w:webHidden/>
              </w:rPr>
              <w:tab/>
            </w:r>
            <w:r w:rsidR="00EC688F">
              <w:rPr>
                <w:webHidden/>
              </w:rPr>
              <w:fldChar w:fldCharType="begin"/>
            </w:r>
            <w:r w:rsidR="00EC688F">
              <w:rPr>
                <w:webHidden/>
              </w:rPr>
              <w:instrText xml:space="preserve"> PAGEREF _Toc511996623 \h </w:instrText>
            </w:r>
            <w:r w:rsidR="00EC688F">
              <w:rPr>
                <w:webHidden/>
              </w:rPr>
            </w:r>
            <w:r w:rsidR="00EC688F">
              <w:rPr>
                <w:webHidden/>
              </w:rPr>
              <w:fldChar w:fldCharType="separate"/>
            </w:r>
            <w:r w:rsidR="00EC688F">
              <w:rPr>
                <w:webHidden/>
              </w:rPr>
              <w:t>14</w:t>
            </w:r>
            <w:r w:rsidR="00EC688F">
              <w:rPr>
                <w:webHidden/>
              </w:rPr>
              <w:fldChar w:fldCharType="end"/>
            </w:r>
          </w:hyperlink>
        </w:p>
        <w:p w14:paraId="61C20388" w14:textId="77777777" w:rsidR="00EC688F" w:rsidRDefault="00A73C9B">
          <w:pPr>
            <w:pStyle w:val="TOC1"/>
            <w:rPr>
              <w:rFonts w:asciiTheme="minorHAnsi" w:eastAsiaTheme="minorEastAsia" w:hAnsiTheme="minorHAnsi" w:cstheme="minorBidi"/>
              <w:szCs w:val="22"/>
            </w:rPr>
          </w:pPr>
          <w:hyperlink w:anchor="_Toc511996624" w:history="1">
            <w:r w:rsidR="00EC688F" w:rsidRPr="00537A1F">
              <w:rPr>
                <w:rStyle w:val="Hyperlink"/>
                <w:rFonts w:ascii="Calibri" w:hAnsi="Calibri" w:cs="Calibri"/>
              </w:rPr>
              <w:t>13.</w:t>
            </w:r>
            <w:r w:rsidR="00EC688F">
              <w:rPr>
                <w:rFonts w:asciiTheme="minorHAnsi" w:eastAsiaTheme="minorEastAsia" w:hAnsiTheme="minorHAnsi" w:cstheme="minorBidi"/>
                <w:szCs w:val="22"/>
              </w:rPr>
              <w:tab/>
            </w:r>
            <w:r w:rsidR="00EC688F" w:rsidRPr="00537A1F">
              <w:rPr>
                <w:rStyle w:val="Hyperlink"/>
                <w:rFonts w:cstheme="minorHAnsi"/>
              </w:rPr>
              <w:t>Application Changes or Discrepancies after Verification</w:t>
            </w:r>
            <w:r w:rsidR="00EC688F">
              <w:rPr>
                <w:webHidden/>
              </w:rPr>
              <w:tab/>
            </w:r>
            <w:r w:rsidR="00EC688F">
              <w:rPr>
                <w:webHidden/>
              </w:rPr>
              <w:fldChar w:fldCharType="begin"/>
            </w:r>
            <w:r w:rsidR="00EC688F">
              <w:rPr>
                <w:webHidden/>
              </w:rPr>
              <w:instrText xml:space="preserve"> PAGEREF _Toc511996624 \h </w:instrText>
            </w:r>
            <w:r w:rsidR="00EC688F">
              <w:rPr>
                <w:webHidden/>
              </w:rPr>
            </w:r>
            <w:r w:rsidR="00EC688F">
              <w:rPr>
                <w:webHidden/>
              </w:rPr>
              <w:fldChar w:fldCharType="separate"/>
            </w:r>
            <w:r w:rsidR="00EC688F">
              <w:rPr>
                <w:webHidden/>
              </w:rPr>
              <w:t>14</w:t>
            </w:r>
            <w:r w:rsidR="00EC688F">
              <w:rPr>
                <w:webHidden/>
              </w:rPr>
              <w:fldChar w:fldCharType="end"/>
            </w:r>
          </w:hyperlink>
        </w:p>
        <w:p w14:paraId="6B0E61D4" w14:textId="77777777" w:rsidR="00EC688F" w:rsidRDefault="00A73C9B">
          <w:pPr>
            <w:pStyle w:val="TOC1"/>
            <w:rPr>
              <w:rFonts w:asciiTheme="minorHAnsi" w:eastAsiaTheme="minorEastAsia" w:hAnsiTheme="minorHAnsi" w:cstheme="minorBidi"/>
              <w:szCs w:val="22"/>
            </w:rPr>
          </w:pPr>
          <w:hyperlink w:anchor="_Toc511996625" w:history="1">
            <w:r w:rsidR="00EC688F" w:rsidRPr="00537A1F">
              <w:rPr>
                <w:rStyle w:val="Hyperlink"/>
                <w:rFonts w:ascii="Calibri" w:hAnsi="Calibri" w:cs="Calibri"/>
              </w:rPr>
              <w:t>14.</w:t>
            </w:r>
            <w:r w:rsidR="00EC688F">
              <w:rPr>
                <w:rFonts w:asciiTheme="minorHAnsi" w:eastAsiaTheme="minorEastAsia" w:hAnsiTheme="minorHAnsi" w:cstheme="minorBidi"/>
                <w:szCs w:val="22"/>
              </w:rPr>
              <w:tab/>
            </w:r>
            <w:r w:rsidR="00EC688F" w:rsidRPr="00537A1F">
              <w:rPr>
                <w:rStyle w:val="Hyperlink"/>
                <w:rFonts w:cstheme="minorHAnsi"/>
              </w:rPr>
              <w:t>Cancellation</w:t>
            </w:r>
            <w:r w:rsidR="00EC688F">
              <w:rPr>
                <w:webHidden/>
              </w:rPr>
              <w:tab/>
            </w:r>
            <w:r w:rsidR="00EC688F">
              <w:rPr>
                <w:webHidden/>
              </w:rPr>
              <w:fldChar w:fldCharType="begin"/>
            </w:r>
            <w:r w:rsidR="00EC688F">
              <w:rPr>
                <w:webHidden/>
              </w:rPr>
              <w:instrText xml:space="preserve"> PAGEREF _Toc511996625 \h </w:instrText>
            </w:r>
            <w:r w:rsidR="00EC688F">
              <w:rPr>
                <w:webHidden/>
              </w:rPr>
            </w:r>
            <w:r w:rsidR="00EC688F">
              <w:rPr>
                <w:webHidden/>
              </w:rPr>
              <w:fldChar w:fldCharType="separate"/>
            </w:r>
            <w:r w:rsidR="00EC688F">
              <w:rPr>
                <w:webHidden/>
              </w:rPr>
              <w:t>15</w:t>
            </w:r>
            <w:r w:rsidR="00EC688F">
              <w:rPr>
                <w:webHidden/>
              </w:rPr>
              <w:fldChar w:fldCharType="end"/>
            </w:r>
          </w:hyperlink>
        </w:p>
        <w:p w14:paraId="21CBF1A9" w14:textId="77777777" w:rsidR="00EC688F" w:rsidRDefault="00A73C9B">
          <w:pPr>
            <w:pStyle w:val="TOC1"/>
            <w:rPr>
              <w:rFonts w:asciiTheme="minorHAnsi" w:eastAsiaTheme="minorEastAsia" w:hAnsiTheme="minorHAnsi" w:cstheme="minorBidi"/>
              <w:szCs w:val="22"/>
            </w:rPr>
          </w:pPr>
          <w:hyperlink w:anchor="_Toc511996626" w:history="1">
            <w:r w:rsidR="00EC688F" w:rsidRPr="00537A1F">
              <w:rPr>
                <w:rStyle w:val="Hyperlink"/>
                <w:rFonts w:ascii="Calibri" w:hAnsi="Calibri" w:cs="Calibri"/>
              </w:rPr>
              <w:t>15.</w:t>
            </w:r>
            <w:r w:rsidR="00EC688F">
              <w:rPr>
                <w:rFonts w:asciiTheme="minorHAnsi" w:eastAsiaTheme="minorEastAsia" w:hAnsiTheme="minorHAnsi" w:cstheme="minorBidi"/>
                <w:szCs w:val="22"/>
              </w:rPr>
              <w:tab/>
            </w:r>
            <w:r w:rsidR="00EC688F" w:rsidRPr="00537A1F">
              <w:rPr>
                <w:rStyle w:val="Hyperlink"/>
                <w:rFonts w:cstheme="minorHAnsi"/>
              </w:rPr>
              <w:t>Customer Satisfaction</w:t>
            </w:r>
            <w:r w:rsidR="00EC688F">
              <w:rPr>
                <w:webHidden/>
              </w:rPr>
              <w:tab/>
            </w:r>
            <w:r w:rsidR="00EC688F">
              <w:rPr>
                <w:webHidden/>
              </w:rPr>
              <w:fldChar w:fldCharType="begin"/>
            </w:r>
            <w:r w:rsidR="00EC688F">
              <w:rPr>
                <w:webHidden/>
              </w:rPr>
              <w:instrText xml:space="preserve"> PAGEREF _Toc511996626 \h </w:instrText>
            </w:r>
            <w:r w:rsidR="00EC688F">
              <w:rPr>
                <w:webHidden/>
              </w:rPr>
            </w:r>
            <w:r w:rsidR="00EC688F">
              <w:rPr>
                <w:webHidden/>
              </w:rPr>
              <w:fldChar w:fldCharType="separate"/>
            </w:r>
            <w:r w:rsidR="00EC688F">
              <w:rPr>
                <w:webHidden/>
              </w:rPr>
              <w:t>15</w:t>
            </w:r>
            <w:r w:rsidR="00EC688F">
              <w:rPr>
                <w:webHidden/>
              </w:rPr>
              <w:fldChar w:fldCharType="end"/>
            </w:r>
          </w:hyperlink>
        </w:p>
        <w:p w14:paraId="2802ACC0" w14:textId="77777777" w:rsidR="00EC688F" w:rsidRDefault="00A73C9B">
          <w:pPr>
            <w:pStyle w:val="TOC1"/>
            <w:rPr>
              <w:rFonts w:asciiTheme="minorHAnsi" w:eastAsiaTheme="minorEastAsia" w:hAnsiTheme="minorHAnsi" w:cstheme="minorBidi"/>
              <w:szCs w:val="22"/>
            </w:rPr>
          </w:pPr>
          <w:hyperlink w:anchor="_Toc511996627" w:history="1">
            <w:r w:rsidR="00EC688F" w:rsidRPr="00537A1F">
              <w:rPr>
                <w:rStyle w:val="Hyperlink"/>
                <w:rFonts w:ascii="Calibri" w:hAnsi="Calibri" w:cs="Calibri"/>
              </w:rPr>
              <w:t>16.</w:t>
            </w:r>
            <w:r w:rsidR="00EC688F">
              <w:rPr>
                <w:rFonts w:asciiTheme="minorHAnsi" w:eastAsiaTheme="minorEastAsia" w:hAnsiTheme="minorHAnsi" w:cstheme="minorBidi"/>
                <w:szCs w:val="22"/>
              </w:rPr>
              <w:tab/>
            </w:r>
            <w:r w:rsidR="00EC688F" w:rsidRPr="00537A1F">
              <w:rPr>
                <w:rStyle w:val="Hyperlink"/>
                <w:rFonts w:cstheme="minorHAnsi"/>
              </w:rPr>
              <w:t>Billing Release</w:t>
            </w:r>
            <w:r w:rsidR="00EC688F">
              <w:rPr>
                <w:webHidden/>
              </w:rPr>
              <w:tab/>
            </w:r>
            <w:r w:rsidR="00EC688F">
              <w:rPr>
                <w:webHidden/>
              </w:rPr>
              <w:fldChar w:fldCharType="begin"/>
            </w:r>
            <w:r w:rsidR="00EC688F">
              <w:rPr>
                <w:webHidden/>
              </w:rPr>
              <w:instrText xml:space="preserve"> PAGEREF _Toc511996627 \h </w:instrText>
            </w:r>
            <w:r w:rsidR="00EC688F">
              <w:rPr>
                <w:webHidden/>
              </w:rPr>
            </w:r>
            <w:r w:rsidR="00EC688F">
              <w:rPr>
                <w:webHidden/>
              </w:rPr>
              <w:fldChar w:fldCharType="separate"/>
            </w:r>
            <w:r w:rsidR="00EC688F">
              <w:rPr>
                <w:webHidden/>
              </w:rPr>
              <w:t>15</w:t>
            </w:r>
            <w:r w:rsidR="00EC688F">
              <w:rPr>
                <w:webHidden/>
              </w:rPr>
              <w:fldChar w:fldCharType="end"/>
            </w:r>
          </w:hyperlink>
        </w:p>
        <w:p w14:paraId="09A9F8C0" w14:textId="77777777" w:rsidR="00EC688F" w:rsidRDefault="00A73C9B">
          <w:pPr>
            <w:pStyle w:val="TOC1"/>
            <w:rPr>
              <w:rFonts w:asciiTheme="minorHAnsi" w:eastAsiaTheme="minorEastAsia" w:hAnsiTheme="minorHAnsi" w:cstheme="minorBidi"/>
              <w:szCs w:val="22"/>
            </w:rPr>
          </w:pPr>
          <w:hyperlink w:anchor="_Toc511996628" w:history="1">
            <w:r w:rsidR="00EC688F" w:rsidRPr="00537A1F">
              <w:rPr>
                <w:rStyle w:val="Hyperlink"/>
                <w:rFonts w:ascii="Calibri" w:hAnsi="Calibri" w:cs="Calibri"/>
              </w:rPr>
              <w:t>17.</w:t>
            </w:r>
            <w:r w:rsidR="00EC688F">
              <w:rPr>
                <w:rFonts w:asciiTheme="minorHAnsi" w:eastAsiaTheme="minorEastAsia" w:hAnsiTheme="minorHAnsi" w:cstheme="minorBidi"/>
                <w:szCs w:val="22"/>
              </w:rPr>
              <w:tab/>
            </w:r>
            <w:r w:rsidR="00EC688F" w:rsidRPr="00537A1F">
              <w:rPr>
                <w:rStyle w:val="Hyperlink"/>
                <w:rFonts w:cstheme="minorHAnsi"/>
              </w:rPr>
              <w:t>Definitions</w:t>
            </w:r>
            <w:r w:rsidR="00EC688F">
              <w:rPr>
                <w:webHidden/>
              </w:rPr>
              <w:tab/>
            </w:r>
            <w:r w:rsidR="00EC688F">
              <w:rPr>
                <w:webHidden/>
              </w:rPr>
              <w:fldChar w:fldCharType="begin"/>
            </w:r>
            <w:r w:rsidR="00EC688F">
              <w:rPr>
                <w:webHidden/>
              </w:rPr>
              <w:instrText xml:space="preserve"> PAGEREF _Toc511996628 \h </w:instrText>
            </w:r>
            <w:r w:rsidR="00EC688F">
              <w:rPr>
                <w:webHidden/>
              </w:rPr>
            </w:r>
            <w:r w:rsidR="00EC688F">
              <w:rPr>
                <w:webHidden/>
              </w:rPr>
              <w:fldChar w:fldCharType="separate"/>
            </w:r>
            <w:r w:rsidR="00EC688F">
              <w:rPr>
                <w:webHidden/>
              </w:rPr>
              <w:t>15</w:t>
            </w:r>
            <w:r w:rsidR="00EC688F">
              <w:rPr>
                <w:webHidden/>
              </w:rPr>
              <w:fldChar w:fldCharType="end"/>
            </w:r>
          </w:hyperlink>
        </w:p>
        <w:p w14:paraId="58B89DAA" w14:textId="77777777" w:rsidR="00EC688F" w:rsidRDefault="00A73C9B">
          <w:pPr>
            <w:pStyle w:val="TOC1"/>
            <w:rPr>
              <w:rFonts w:asciiTheme="minorHAnsi" w:eastAsiaTheme="minorEastAsia" w:hAnsiTheme="minorHAnsi" w:cstheme="minorBidi"/>
              <w:szCs w:val="22"/>
            </w:rPr>
          </w:pPr>
          <w:hyperlink w:anchor="_Toc511996629" w:history="1">
            <w:r w:rsidR="00EC688F" w:rsidRPr="00537A1F">
              <w:rPr>
                <w:rStyle w:val="Hyperlink"/>
                <w:rFonts w:ascii="Calibri" w:hAnsi="Calibri" w:cs="Calibri"/>
              </w:rPr>
              <w:t>18.</w:t>
            </w:r>
            <w:r w:rsidR="00EC688F">
              <w:rPr>
                <w:rFonts w:asciiTheme="minorHAnsi" w:eastAsiaTheme="minorEastAsia" w:hAnsiTheme="minorHAnsi" w:cstheme="minorBidi"/>
                <w:szCs w:val="22"/>
              </w:rPr>
              <w:tab/>
            </w:r>
            <w:r w:rsidR="00EC688F" w:rsidRPr="00537A1F">
              <w:rPr>
                <w:rStyle w:val="Hyperlink"/>
                <w:rFonts w:cstheme="minorHAnsi"/>
              </w:rPr>
              <w:t>Contact Information</w:t>
            </w:r>
            <w:r w:rsidR="00EC688F">
              <w:rPr>
                <w:webHidden/>
              </w:rPr>
              <w:tab/>
            </w:r>
            <w:r w:rsidR="00EC688F">
              <w:rPr>
                <w:webHidden/>
              </w:rPr>
              <w:fldChar w:fldCharType="begin"/>
            </w:r>
            <w:r w:rsidR="00EC688F">
              <w:rPr>
                <w:webHidden/>
              </w:rPr>
              <w:instrText xml:space="preserve"> PAGEREF _Toc511996629 \h </w:instrText>
            </w:r>
            <w:r w:rsidR="00EC688F">
              <w:rPr>
                <w:webHidden/>
              </w:rPr>
            </w:r>
            <w:r w:rsidR="00EC688F">
              <w:rPr>
                <w:webHidden/>
              </w:rPr>
              <w:fldChar w:fldCharType="separate"/>
            </w:r>
            <w:r w:rsidR="00EC688F">
              <w:rPr>
                <w:webHidden/>
              </w:rPr>
              <w:t>17</w:t>
            </w:r>
            <w:r w:rsidR="00EC688F">
              <w:rPr>
                <w:webHidden/>
              </w:rPr>
              <w:fldChar w:fldCharType="end"/>
            </w:r>
          </w:hyperlink>
        </w:p>
        <w:p w14:paraId="3D855A46" w14:textId="77777777" w:rsidR="00EC688F" w:rsidRDefault="00A73C9B">
          <w:pPr>
            <w:pStyle w:val="TOC1"/>
            <w:rPr>
              <w:rFonts w:asciiTheme="minorHAnsi" w:eastAsiaTheme="minorEastAsia" w:hAnsiTheme="minorHAnsi" w:cstheme="minorBidi"/>
              <w:szCs w:val="22"/>
            </w:rPr>
          </w:pPr>
          <w:hyperlink w:anchor="_Toc511996630" w:history="1">
            <w:r w:rsidR="00EC688F" w:rsidRPr="00537A1F">
              <w:rPr>
                <w:rStyle w:val="Hyperlink"/>
                <w:rFonts w:cstheme="minorHAnsi"/>
              </w:rPr>
              <w:t>Appendix A: General Process</w:t>
            </w:r>
            <w:r w:rsidR="00EC688F">
              <w:rPr>
                <w:webHidden/>
              </w:rPr>
              <w:tab/>
            </w:r>
            <w:r w:rsidR="00EC688F">
              <w:rPr>
                <w:webHidden/>
              </w:rPr>
              <w:fldChar w:fldCharType="begin"/>
            </w:r>
            <w:r w:rsidR="00EC688F">
              <w:rPr>
                <w:webHidden/>
              </w:rPr>
              <w:instrText xml:space="preserve"> PAGEREF _Toc511996630 \h </w:instrText>
            </w:r>
            <w:r w:rsidR="00EC688F">
              <w:rPr>
                <w:webHidden/>
              </w:rPr>
            </w:r>
            <w:r w:rsidR="00EC688F">
              <w:rPr>
                <w:webHidden/>
              </w:rPr>
              <w:fldChar w:fldCharType="separate"/>
            </w:r>
            <w:r w:rsidR="00EC688F">
              <w:rPr>
                <w:webHidden/>
              </w:rPr>
              <w:t>18</w:t>
            </w:r>
            <w:r w:rsidR="00EC688F">
              <w:rPr>
                <w:webHidden/>
              </w:rPr>
              <w:fldChar w:fldCharType="end"/>
            </w:r>
          </w:hyperlink>
        </w:p>
        <w:p w14:paraId="3FE50F43" w14:textId="77777777" w:rsidR="002B3621" w:rsidRPr="00DD26CD" w:rsidRDefault="002B3621" w:rsidP="003E74C0">
          <w:pPr>
            <w:spacing w:line="360" w:lineRule="auto"/>
            <w:rPr>
              <w:rFonts w:asciiTheme="minorHAnsi" w:hAnsiTheme="minorHAnsi" w:cstheme="minorHAnsi"/>
            </w:rPr>
          </w:pPr>
          <w:r w:rsidRPr="00DD26CD">
            <w:rPr>
              <w:rFonts w:asciiTheme="minorHAnsi" w:hAnsiTheme="minorHAnsi" w:cstheme="minorHAnsi"/>
              <w:b/>
              <w:bCs/>
              <w:noProof/>
            </w:rPr>
            <w:fldChar w:fldCharType="end"/>
          </w:r>
        </w:p>
        <w:p w14:paraId="51876364" w14:textId="77777777" w:rsidR="0056447B" w:rsidRPr="00DD26CD" w:rsidRDefault="00A73C9B" w:rsidP="0056447B">
          <w:pPr>
            <w:rPr>
              <w:rFonts w:asciiTheme="minorHAnsi" w:hAnsiTheme="minorHAnsi" w:cstheme="minorHAnsi"/>
            </w:rPr>
          </w:pPr>
        </w:p>
      </w:sdtContent>
    </w:sdt>
    <w:p w14:paraId="51FCDC4D" w14:textId="77777777" w:rsidR="0056447B" w:rsidRPr="00A9635C" w:rsidRDefault="0056447B" w:rsidP="0056447B">
      <w:pPr>
        <w:rPr>
          <w:rFonts w:asciiTheme="minorHAnsi" w:hAnsiTheme="minorHAnsi" w:cstheme="minorHAnsi"/>
        </w:rPr>
      </w:pPr>
    </w:p>
    <w:p w14:paraId="6C9C622B" w14:textId="77777777" w:rsidR="0056447B" w:rsidRPr="00DD26CD" w:rsidRDefault="0056447B" w:rsidP="0056447B">
      <w:pPr>
        <w:rPr>
          <w:rFonts w:asciiTheme="minorHAnsi" w:hAnsiTheme="minorHAnsi" w:cstheme="minorHAnsi"/>
        </w:rPr>
      </w:pPr>
    </w:p>
    <w:p w14:paraId="466EF08D" w14:textId="77777777" w:rsidR="0056447B" w:rsidRPr="00DD26CD" w:rsidRDefault="0056447B" w:rsidP="0056447B">
      <w:pPr>
        <w:rPr>
          <w:rFonts w:asciiTheme="minorHAnsi" w:hAnsiTheme="minorHAnsi" w:cstheme="minorHAnsi"/>
        </w:rPr>
      </w:pPr>
    </w:p>
    <w:p w14:paraId="290F1E7A" w14:textId="77777777" w:rsidR="0056447B" w:rsidRPr="00DD26CD" w:rsidRDefault="0056447B" w:rsidP="0056447B">
      <w:pPr>
        <w:rPr>
          <w:rFonts w:asciiTheme="minorHAnsi" w:hAnsiTheme="minorHAnsi" w:cstheme="minorHAnsi"/>
        </w:rPr>
      </w:pPr>
    </w:p>
    <w:p w14:paraId="4410EC36" w14:textId="77777777" w:rsidR="0056447B" w:rsidRDefault="0056447B" w:rsidP="0056447B">
      <w:pPr>
        <w:rPr>
          <w:rFonts w:asciiTheme="minorHAnsi" w:hAnsiTheme="minorHAnsi" w:cstheme="minorHAnsi"/>
        </w:rPr>
      </w:pPr>
    </w:p>
    <w:p w14:paraId="5842AECE" w14:textId="77777777" w:rsidR="00B91374" w:rsidRDefault="00B91374" w:rsidP="0056447B">
      <w:pPr>
        <w:rPr>
          <w:rFonts w:asciiTheme="minorHAnsi" w:hAnsiTheme="minorHAnsi" w:cstheme="minorHAnsi"/>
        </w:rPr>
      </w:pPr>
    </w:p>
    <w:p w14:paraId="1138F0DA" w14:textId="77777777" w:rsidR="00B91374" w:rsidRDefault="00B91374" w:rsidP="0056447B">
      <w:pPr>
        <w:rPr>
          <w:rFonts w:asciiTheme="minorHAnsi" w:hAnsiTheme="minorHAnsi" w:cstheme="minorHAnsi"/>
        </w:rPr>
      </w:pPr>
    </w:p>
    <w:p w14:paraId="507C90C5" w14:textId="77777777" w:rsidR="00B91374" w:rsidRDefault="00B91374" w:rsidP="0056447B">
      <w:pPr>
        <w:rPr>
          <w:rFonts w:asciiTheme="minorHAnsi" w:hAnsiTheme="minorHAnsi" w:cstheme="minorHAnsi"/>
        </w:rPr>
      </w:pPr>
    </w:p>
    <w:p w14:paraId="55CAAA89" w14:textId="77777777" w:rsidR="00B91374" w:rsidRDefault="00B91374" w:rsidP="0056447B">
      <w:pPr>
        <w:rPr>
          <w:rFonts w:asciiTheme="minorHAnsi" w:hAnsiTheme="minorHAnsi" w:cstheme="minorHAnsi"/>
        </w:rPr>
      </w:pPr>
    </w:p>
    <w:p w14:paraId="5AFD22DC" w14:textId="77777777" w:rsidR="00B91374" w:rsidRDefault="00B91374" w:rsidP="0056447B">
      <w:pPr>
        <w:rPr>
          <w:rFonts w:asciiTheme="minorHAnsi" w:hAnsiTheme="minorHAnsi" w:cstheme="minorHAnsi"/>
        </w:rPr>
      </w:pPr>
    </w:p>
    <w:p w14:paraId="3C2F2AA3" w14:textId="77777777" w:rsidR="00B91374" w:rsidRDefault="00B91374" w:rsidP="0056447B">
      <w:pPr>
        <w:rPr>
          <w:rFonts w:asciiTheme="minorHAnsi" w:hAnsiTheme="minorHAnsi" w:cstheme="minorHAnsi"/>
        </w:rPr>
      </w:pPr>
    </w:p>
    <w:p w14:paraId="78838B73" w14:textId="77777777" w:rsidR="00B91374" w:rsidRDefault="00B91374" w:rsidP="0056447B">
      <w:pPr>
        <w:rPr>
          <w:rFonts w:asciiTheme="minorHAnsi" w:hAnsiTheme="minorHAnsi" w:cstheme="minorHAnsi"/>
        </w:rPr>
      </w:pPr>
    </w:p>
    <w:p w14:paraId="6989AB9E" w14:textId="77777777" w:rsidR="00B91374" w:rsidRPr="00DD26CD" w:rsidRDefault="00B91374" w:rsidP="0056447B">
      <w:pPr>
        <w:rPr>
          <w:rFonts w:asciiTheme="minorHAnsi" w:hAnsiTheme="minorHAnsi" w:cstheme="minorHAnsi"/>
        </w:rPr>
      </w:pPr>
    </w:p>
    <w:p w14:paraId="6189BB84" w14:textId="77777777" w:rsidR="009C6947" w:rsidRPr="00DD26CD" w:rsidRDefault="009C6947" w:rsidP="0056447B">
      <w:pPr>
        <w:rPr>
          <w:rFonts w:asciiTheme="minorHAnsi" w:hAnsiTheme="minorHAnsi" w:cstheme="minorHAnsi"/>
        </w:rPr>
      </w:pPr>
    </w:p>
    <w:p w14:paraId="7BEB9F1A" w14:textId="77777777" w:rsidR="009C6947" w:rsidRPr="00DD26CD" w:rsidRDefault="009C6947" w:rsidP="0056447B">
      <w:pPr>
        <w:rPr>
          <w:rFonts w:asciiTheme="minorHAnsi" w:hAnsiTheme="minorHAnsi" w:cstheme="minorHAnsi"/>
        </w:rPr>
      </w:pPr>
    </w:p>
    <w:p w14:paraId="194394B8" w14:textId="77777777" w:rsidR="009C6947" w:rsidRPr="00DD26CD" w:rsidRDefault="009C6947" w:rsidP="0056447B">
      <w:pPr>
        <w:rPr>
          <w:rFonts w:asciiTheme="minorHAnsi" w:hAnsiTheme="minorHAnsi" w:cstheme="minorHAnsi"/>
        </w:rPr>
      </w:pPr>
    </w:p>
    <w:p w14:paraId="50AD1C74" w14:textId="77777777" w:rsidR="0056447B" w:rsidRPr="00DD26CD" w:rsidRDefault="0056447B" w:rsidP="0056447B">
      <w:pPr>
        <w:rPr>
          <w:rFonts w:asciiTheme="minorHAnsi" w:hAnsiTheme="minorHAnsi" w:cstheme="minorHAnsi"/>
        </w:rPr>
      </w:pPr>
    </w:p>
    <w:p w14:paraId="1C295E2B" w14:textId="77777777" w:rsidR="0056447B" w:rsidRPr="00CA2715" w:rsidRDefault="0056447B" w:rsidP="0056447B">
      <w:pPr>
        <w:rPr>
          <w:rFonts w:asciiTheme="minorHAnsi" w:hAnsiTheme="minorHAnsi" w:cstheme="minorHAnsi"/>
        </w:rPr>
      </w:pPr>
    </w:p>
    <w:p w14:paraId="7A0E4ACB" w14:textId="77777777" w:rsidR="0056447B" w:rsidRPr="00CA2715" w:rsidRDefault="0056447B" w:rsidP="0056447B">
      <w:pPr>
        <w:pStyle w:val="Heading1"/>
        <w:spacing w:before="120" w:after="120"/>
        <w:jc w:val="left"/>
        <w:rPr>
          <w:rFonts w:asciiTheme="minorHAnsi" w:hAnsiTheme="minorHAnsi" w:cstheme="minorHAnsi"/>
        </w:rPr>
      </w:pPr>
      <w:bookmarkStart w:id="1" w:name="_Toc511029287"/>
      <w:bookmarkStart w:id="2" w:name="_Toc511996609"/>
      <w:r w:rsidRPr="00CA2715">
        <w:rPr>
          <w:rFonts w:asciiTheme="minorHAnsi" w:hAnsiTheme="minorHAnsi" w:cstheme="minorHAnsi"/>
        </w:rPr>
        <w:lastRenderedPageBreak/>
        <w:t>Program Overview</w:t>
      </w:r>
      <w:bookmarkEnd w:id="1"/>
      <w:bookmarkEnd w:id="2"/>
      <w:r w:rsidRPr="00CA2715">
        <w:rPr>
          <w:rFonts w:asciiTheme="minorHAnsi" w:hAnsiTheme="minorHAnsi" w:cstheme="minorHAnsi"/>
        </w:rPr>
        <w:t xml:space="preserve"> </w:t>
      </w:r>
    </w:p>
    <w:p w14:paraId="11585046" w14:textId="77777777" w:rsidR="00A02B70" w:rsidRPr="003E74C0" w:rsidRDefault="00356CB6" w:rsidP="0056447B">
      <w:pPr>
        <w:autoSpaceDE w:val="0"/>
        <w:autoSpaceDN w:val="0"/>
        <w:adjustRightInd w:val="0"/>
        <w:jc w:val="left"/>
        <w:rPr>
          <w:rFonts w:asciiTheme="minorHAnsi" w:hAnsiTheme="minorHAnsi" w:cstheme="minorHAnsi"/>
          <w:sz w:val="24"/>
        </w:rPr>
      </w:pPr>
      <w:r w:rsidRPr="003E74C0">
        <w:rPr>
          <w:rFonts w:asciiTheme="minorHAnsi" w:hAnsiTheme="minorHAnsi" w:cstheme="minorHAnsi"/>
          <w:sz w:val="24"/>
        </w:rPr>
        <w:t xml:space="preserve">The </w:t>
      </w:r>
      <w:r w:rsidR="00A02B70" w:rsidRPr="003E74C0">
        <w:rPr>
          <w:rFonts w:asciiTheme="minorHAnsi" w:hAnsiTheme="minorHAnsi" w:cstheme="minorHAnsi"/>
          <w:sz w:val="24"/>
        </w:rPr>
        <w:t>UES Gas</w:t>
      </w:r>
      <w:r w:rsidRPr="003E74C0">
        <w:rPr>
          <w:rFonts w:asciiTheme="minorHAnsi" w:hAnsiTheme="minorHAnsi" w:cstheme="minorHAnsi"/>
          <w:sz w:val="24"/>
        </w:rPr>
        <w:t xml:space="preserve"> Commercial Energy Solutions program provides incentives for </w:t>
      </w:r>
      <w:r w:rsidR="00A02B70" w:rsidRPr="003E74C0">
        <w:rPr>
          <w:rFonts w:asciiTheme="minorHAnsi" w:hAnsiTheme="minorHAnsi" w:cstheme="minorHAnsi"/>
          <w:sz w:val="24"/>
        </w:rPr>
        <w:t>commercial business</w:t>
      </w:r>
      <w:r w:rsidRPr="003E74C0">
        <w:rPr>
          <w:rFonts w:asciiTheme="minorHAnsi" w:hAnsiTheme="minorHAnsi" w:cstheme="minorHAnsi"/>
          <w:sz w:val="24"/>
        </w:rPr>
        <w:t xml:space="preserve"> and K-12 </w:t>
      </w:r>
      <w:r w:rsidR="00A02B70" w:rsidRPr="003E74C0">
        <w:rPr>
          <w:rFonts w:asciiTheme="minorHAnsi" w:hAnsiTheme="minorHAnsi" w:cstheme="minorHAnsi"/>
          <w:sz w:val="24"/>
        </w:rPr>
        <w:t xml:space="preserve">gas </w:t>
      </w:r>
      <w:r w:rsidRPr="003E74C0">
        <w:rPr>
          <w:rFonts w:asciiTheme="minorHAnsi" w:hAnsiTheme="minorHAnsi" w:cstheme="minorHAnsi"/>
          <w:sz w:val="24"/>
        </w:rPr>
        <w:t xml:space="preserve">customers </w:t>
      </w:r>
      <w:r w:rsidR="00251156" w:rsidRPr="003E74C0">
        <w:rPr>
          <w:rFonts w:asciiTheme="minorHAnsi" w:hAnsiTheme="minorHAnsi" w:cstheme="minorHAnsi"/>
          <w:sz w:val="24"/>
        </w:rPr>
        <w:t xml:space="preserve">within the service territory </w:t>
      </w:r>
      <w:r w:rsidR="00236998">
        <w:rPr>
          <w:rFonts w:asciiTheme="minorHAnsi" w:hAnsiTheme="minorHAnsi" w:cstheme="minorHAnsi"/>
          <w:sz w:val="24"/>
        </w:rPr>
        <w:t>who</w:t>
      </w:r>
      <w:r w:rsidR="00DD26CD" w:rsidRPr="003E74C0">
        <w:rPr>
          <w:rFonts w:asciiTheme="minorHAnsi" w:hAnsiTheme="minorHAnsi" w:cstheme="minorHAnsi"/>
          <w:sz w:val="24"/>
        </w:rPr>
        <w:t xml:space="preserve"> </w:t>
      </w:r>
      <w:r w:rsidRPr="003E74C0">
        <w:rPr>
          <w:rFonts w:asciiTheme="minorHAnsi" w:hAnsiTheme="minorHAnsi" w:cstheme="minorHAnsi"/>
          <w:sz w:val="24"/>
        </w:rPr>
        <w:t xml:space="preserve">upgrade their </w:t>
      </w:r>
      <w:r w:rsidR="00A02B70" w:rsidRPr="003E74C0">
        <w:rPr>
          <w:rFonts w:asciiTheme="minorHAnsi" w:hAnsiTheme="minorHAnsi" w:cstheme="minorHAnsi"/>
          <w:sz w:val="24"/>
        </w:rPr>
        <w:t>existing facilities with</w:t>
      </w:r>
      <w:r w:rsidRPr="003E74C0">
        <w:rPr>
          <w:rFonts w:asciiTheme="minorHAnsi" w:hAnsiTheme="minorHAnsi" w:cstheme="minorHAnsi"/>
          <w:sz w:val="24"/>
        </w:rPr>
        <w:t xml:space="preserve"> energy efficient equipment, </w:t>
      </w:r>
      <w:r w:rsidR="00A02B70" w:rsidRPr="003E74C0">
        <w:rPr>
          <w:rFonts w:asciiTheme="minorHAnsi" w:hAnsiTheme="minorHAnsi" w:cstheme="minorHAnsi"/>
          <w:sz w:val="24"/>
        </w:rPr>
        <w:t xml:space="preserve">design and build new construction facilities for energy efficiency or </w:t>
      </w:r>
      <w:r w:rsidR="00251156" w:rsidRPr="003E74C0">
        <w:rPr>
          <w:rFonts w:asciiTheme="minorHAnsi" w:hAnsiTheme="minorHAnsi" w:cstheme="minorHAnsi"/>
          <w:sz w:val="24"/>
        </w:rPr>
        <w:t xml:space="preserve">implement </w:t>
      </w:r>
      <w:r w:rsidR="00A02B70" w:rsidRPr="003E74C0">
        <w:rPr>
          <w:rFonts w:asciiTheme="minorHAnsi" w:hAnsiTheme="minorHAnsi" w:cstheme="minorHAnsi"/>
          <w:sz w:val="24"/>
        </w:rPr>
        <w:t xml:space="preserve">energy efficiency upgrades </w:t>
      </w:r>
      <w:r w:rsidR="00251156" w:rsidRPr="003E74C0">
        <w:rPr>
          <w:rFonts w:asciiTheme="minorHAnsi" w:hAnsiTheme="minorHAnsi" w:cstheme="minorHAnsi"/>
          <w:sz w:val="24"/>
        </w:rPr>
        <w:t>as part of a</w:t>
      </w:r>
      <w:r w:rsidR="00A02B70" w:rsidRPr="003E74C0">
        <w:rPr>
          <w:rFonts w:asciiTheme="minorHAnsi" w:hAnsiTheme="minorHAnsi" w:cstheme="minorHAnsi"/>
          <w:sz w:val="24"/>
        </w:rPr>
        <w:t xml:space="preserve"> major facility renovation project.  </w:t>
      </w:r>
    </w:p>
    <w:p w14:paraId="040C5118" w14:textId="77777777" w:rsidR="00A02B70" w:rsidRPr="003E74C0" w:rsidRDefault="00A02B70" w:rsidP="0056447B">
      <w:pPr>
        <w:autoSpaceDE w:val="0"/>
        <w:autoSpaceDN w:val="0"/>
        <w:adjustRightInd w:val="0"/>
        <w:jc w:val="left"/>
        <w:rPr>
          <w:rFonts w:asciiTheme="minorHAnsi" w:hAnsiTheme="minorHAnsi" w:cstheme="minorHAnsi"/>
          <w:sz w:val="24"/>
        </w:rPr>
      </w:pPr>
    </w:p>
    <w:p w14:paraId="678FBA04" w14:textId="77777777" w:rsidR="0056447B" w:rsidRPr="003E74C0" w:rsidRDefault="00A02B70" w:rsidP="003E74C0">
      <w:pPr>
        <w:autoSpaceDE w:val="0"/>
        <w:autoSpaceDN w:val="0"/>
        <w:adjustRightInd w:val="0"/>
        <w:jc w:val="left"/>
        <w:rPr>
          <w:rFonts w:asciiTheme="minorHAnsi" w:hAnsiTheme="minorHAnsi" w:cstheme="minorHAnsi"/>
          <w:sz w:val="24"/>
        </w:rPr>
      </w:pPr>
      <w:r w:rsidRPr="003E74C0">
        <w:rPr>
          <w:rFonts w:asciiTheme="minorHAnsi" w:hAnsiTheme="minorHAnsi" w:cstheme="minorHAnsi"/>
          <w:sz w:val="24"/>
        </w:rPr>
        <w:t>This Policies and Procedures Manual</w:t>
      </w:r>
      <w:r w:rsidR="00356CB6" w:rsidRPr="003E74C0">
        <w:rPr>
          <w:rFonts w:asciiTheme="minorHAnsi" w:hAnsiTheme="minorHAnsi" w:cstheme="minorHAnsi"/>
          <w:sz w:val="24"/>
        </w:rPr>
        <w:t xml:space="preserve"> is intended to convey the rules, policies and procedures that govern program administration and customer participation. It is a companion document to </w:t>
      </w:r>
      <w:r w:rsidRPr="003E74C0">
        <w:rPr>
          <w:rFonts w:asciiTheme="minorHAnsi" w:hAnsiTheme="minorHAnsi" w:cstheme="minorHAnsi"/>
          <w:sz w:val="24"/>
        </w:rPr>
        <w:t xml:space="preserve">Incentive Application Form and program information available on the UES Commercial Energy Solutions website: </w:t>
      </w:r>
      <w:hyperlink r:id="rId9" w:history="1">
        <w:r w:rsidR="00356CB6" w:rsidRPr="003E74C0">
          <w:rPr>
            <w:rStyle w:val="Hyperlink"/>
            <w:rFonts w:asciiTheme="minorHAnsi" w:hAnsiTheme="minorHAnsi" w:cstheme="minorHAnsi"/>
            <w:sz w:val="24"/>
          </w:rPr>
          <w:t>uescommercialenergysolutions.com</w:t>
        </w:r>
      </w:hyperlink>
      <w:r w:rsidR="0056447B" w:rsidRPr="003E74C0">
        <w:rPr>
          <w:rFonts w:asciiTheme="minorHAnsi" w:hAnsiTheme="minorHAnsi" w:cstheme="minorHAnsi"/>
          <w:sz w:val="24"/>
        </w:rPr>
        <w:t xml:space="preserve">. </w:t>
      </w:r>
    </w:p>
    <w:p w14:paraId="0FE0236B" w14:textId="77777777" w:rsidR="0056447B" w:rsidRPr="00CA2715" w:rsidRDefault="0056447B" w:rsidP="0056447B">
      <w:pPr>
        <w:jc w:val="left"/>
        <w:rPr>
          <w:rFonts w:asciiTheme="minorHAnsi" w:hAnsiTheme="minorHAnsi" w:cstheme="minorHAnsi"/>
        </w:rPr>
      </w:pPr>
    </w:p>
    <w:p w14:paraId="24BB6BEE" w14:textId="77777777" w:rsidR="0056447B" w:rsidRPr="00CA2715" w:rsidRDefault="0056447B" w:rsidP="0056447B">
      <w:pPr>
        <w:pStyle w:val="Heading1"/>
        <w:spacing w:before="120" w:after="120"/>
        <w:jc w:val="left"/>
        <w:rPr>
          <w:rFonts w:asciiTheme="minorHAnsi" w:hAnsiTheme="minorHAnsi" w:cstheme="minorHAnsi"/>
        </w:rPr>
      </w:pPr>
      <w:bookmarkStart w:id="3" w:name="_Toc511029290"/>
      <w:bookmarkStart w:id="4" w:name="_Toc511996610"/>
      <w:r w:rsidRPr="00CA2715">
        <w:rPr>
          <w:rFonts w:asciiTheme="minorHAnsi" w:hAnsiTheme="minorHAnsi" w:cstheme="minorHAnsi"/>
        </w:rPr>
        <w:t>Program Marketing</w:t>
      </w:r>
      <w:bookmarkEnd w:id="3"/>
      <w:bookmarkEnd w:id="4"/>
    </w:p>
    <w:p w14:paraId="45285BCF" w14:textId="77777777" w:rsidR="00356CB6" w:rsidRPr="003E74C0" w:rsidRDefault="0056447B" w:rsidP="0056447B">
      <w:pPr>
        <w:jc w:val="left"/>
        <w:rPr>
          <w:rFonts w:asciiTheme="minorHAnsi" w:hAnsiTheme="minorHAnsi" w:cstheme="minorHAnsi"/>
          <w:sz w:val="24"/>
          <w:szCs w:val="22"/>
        </w:rPr>
      </w:pPr>
      <w:r w:rsidRPr="003E74C0">
        <w:rPr>
          <w:rFonts w:asciiTheme="minorHAnsi" w:hAnsiTheme="minorHAnsi" w:cstheme="minorHAnsi"/>
          <w:sz w:val="24"/>
          <w:szCs w:val="22"/>
        </w:rPr>
        <w:t xml:space="preserve">Marketing collateral has been developed for the </w:t>
      </w:r>
      <w:r w:rsidR="00356CB6" w:rsidRPr="003E74C0">
        <w:rPr>
          <w:rFonts w:asciiTheme="minorHAnsi" w:hAnsiTheme="minorHAnsi" w:cstheme="minorHAnsi"/>
          <w:sz w:val="24"/>
          <w:szCs w:val="22"/>
        </w:rPr>
        <w:t>UES</w:t>
      </w:r>
      <w:r w:rsidRPr="003E74C0">
        <w:rPr>
          <w:rFonts w:asciiTheme="minorHAnsi" w:hAnsiTheme="minorHAnsi" w:cstheme="minorHAnsi"/>
          <w:sz w:val="24"/>
          <w:szCs w:val="22"/>
        </w:rPr>
        <w:t xml:space="preserve"> </w:t>
      </w:r>
      <w:r w:rsidR="00A02B70" w:rsidRPr="003E74C0">
        <w:rPr>
          <w:rFonts w:asciiTheme="minorHAnsi" w:hAnsiTheme="minorHAnsi" w:cstheme="minorHAnsi"/>
          <w:sz w:val="24"/>
          <w:szCs w:val="22"/>
        </w:rPr>
        <w:t xml:space="preserve">Gas </w:t>
      </w:r>
      <w:r w:rsidRPr="003E74C0">
        <w:rPr>
          <w:rFonts w:asciiTheme="minorHAnsi" w:hAnsiTheme="minorHAnsi" w:cstheme="minorHAnsi"/>
          <w:sz w:val="24"/>
          <w:szCs w:val="22"/>
        </w:rPr>
        <w:t>Commercial Energy Solutions</w:t>
      </w:r>
      <w:r w:rsidR="00356CB6" w:rsidRPr="003E74C0">
        <w:rPr>
          <w:rFonts w:asciiTheme="minorHAnsi" w:hAnsiTheme="minorHAnsi" w:cstheme="minorHAnsi"/>
          <w:sz w:val="24"/>
          <w:szCs w:val="22"/>
        </w:rPr>
        <w:t xml:space="preserve"> </w:t>
      </w:r>
      <w:r w:rsidRPr="003E74C0">
        <w:rPr>
          <w:rFonts w:asciiTheme="minorHAnsi" w:hAnsiTheme="minorHAnsi" w:cstheme="minorHAnsi"/>
          <w:sz w:val="24"/>
          <w:szCs w:val="22"/>
        </w:rPr>
        <w:t xml:space="preserve">program and </w:t>
      </w:r>
      <w:r w:rsidR="00DA0F44" w:rsidRPr="003E74C0">
        <w:rPr>
          <w:rFonts w:asciiTheme="minorHAnsi" w:hAnsiTheme="minorHAnsi" w:cstheme="minorHAnsi"/>
          <w:sz w:val="24"/>
          <w:szCs w:val="22"/>
        </w:rPr>
        <w:t xml:space="preserve">are available upon request. </w:t>
      </w:r>
      <w:r w:rsidRPr="003E74C0">
        <w:rPr>
          <w:rFonts w:asciiTheme="minorHAnsi" w:hAnsiTheme="minorHAnsi" w:cstheme="minorHAnsi"/>
          <w:sz w:val="24"/>
          <w:szCs w:val="22"/>
        </w:rPr>
        <w:t xml:space="preserve">Use of the </w:t>
      </w:r>
      <w:r w:rsidR="00356CB6" w:rsidRPr="003E74C0">
        <w:rPr>
          <w:rFonts w:asciiTheme="minorHAnsi" w:hAnsiTheme="minorHAnsi" w:cstheme="minorHAnsi"/>
          <w:sz w:val="24"/>
          <w:szCs w:val="22"/>
        </w:rPr>
        <w:t>UES</w:t>
      </w:r>
      <w:r w:rsidRPr="003E74C0">
        <w:rPr>
          <w:rFonts w:asciiTheme="minorHAnsi" w:hAnsiTheme="minorHAnsi" w:cstheme="minorHAnsi"/>
          <w:sz w:val="24"/>
          <w:szCs w:val="22"/>
        </w:rPr>
        <w:t xml:space="preserve"> logo or name on materials is </w:t>
      </w:r>
      <w:r w:rsidR="00A66268" w:rsidRPr="003E74C0">
        <w:rPr>
          <w:rFonts w:asciiTheme="minorHAnsi" w:hAnsiTheme="minorHAnsi" w:cstheme="minorHAnsi"/>
          <w:sz w:val="24"/>
          <w:szCs w:val="22"/>
        </w:rPr>
        <w:t>prohibited</w:t>
      </w:r>
      <w:r w:rsidRPr="003E74C0">
        <w:rPr>
          <w:rFonts w:asciiTheme="minorHAnsi" w:hAnsiTheme="minorHAnsi" w:cstheme="minorHAnsi"/>
          <w:sz w:val="24"/>
          <w:szCs w:val="22"/>
        </w:rPr>
        <w:t xml:space="preserve">. </w:t>
      </w:r>
      <w:r w:rsidR="00C322A7" w:rsidRPr="003E74C0">
        <w:rPr>
          <w:rFonts w:asciiTheme="minorHAnsi" w:hAnsiTheme="minorHAnsi" w:cstheme="minorHAnsi"/>
          <w:sz w:val="24"/>
          <w:szCs w:val="22"/>
        </w:rPr>
        <w:t>M</w:t>
      </w:r>
      <w:r w:rsidRPr="003E74C0">
        <w:rPr>
          <w:rFonts w:asciiTheme="minorHAnsi" w:hAnsiTheme="minorHAnsi" w:cstheme="minorHAnsi"/>
          <w:sz w:val="24"/>
          <w:szCs w:val="22"/>
        </w:rPr>
        <w:t xml:space="preserve">aterials </w:t>
      </w:r>
      <w:r w:rsidR="00A66268" w:rsidRPr="003E74C0">
        <w:rPr>
          <w:rFonts w:asciiTheme="minorHAnsi" w:hAnsiTheme="minorHAnsi" w:cstheme="minorHAnsi"/>
          <w:sz w:val="24"/>
          <w:szCs w:val="22"/>
        </w:rPr>
        <w:t>that</w:t>
      </w:r>
      <w:r w:rsidRPr="003E74C0">
        <w:rPr>
          <w:rFonts w:asciiTheme="minorHAnsi" w:hAnsiTheme="minorHAnsi" w:cstheme="minorHAnsi"/>
          <w:sz w:val="24"/>
          <w:szCs w:val="22"/>
        </w:rPr>
        <w:t xml:space="preserve"> include the program name</w:t>
      </w:r>
      <w:r w:rsidR="00A66268" w:rsidRPr="003E74C0">
        <w:rPr>
          <w:rFonts w:asciiTheme="minorHAnsi" w:hAnsiTheme="minorHAnsi" w:cstheme="minorHAnsi"/>
          <w:sz w:val="24"/>
          <w:szCs w:val="22"/>
        </w:rPr>
        <w:t xml:space="preserve"> </w:t>
      </w:r>
      <w:r w:rsidRPr="003E74C0">
        <w:rPr>
          <w:rFonts w:asciiTheme="minorHAnsi" w:hAnsiTheme="minorHAnsi" w:cstheme="minorHAnsi"/>
          <w:sz w:val="24"/>
          <w:szCs w:val="22"/>
        </w:rPr>
        <w:t xml:space="preserve">must be approved by the </w:t>
      </w:r>
      <w:r w:rsidR="00356CB6" w:rsidRPr="003E74C0">
        <w:rPr>
          <w:rFonts w:asciiTheme="minorHAnsi" w:hAnsiTheme="minorHAnsi" w:cstheme="minorHAnsi"/>
          <w:sz w:val="24"/>
          <w:szCs w:val="22"/>
        </w:rPr>
        <w:t>UES</w:t>
      </w:r>
      <w:r w:rsidRPr="003E74C0">
        <w:rPr>
          <w:rFonts w:asciiTheme="minorHAnsi" w:hAnsiTheme="minorHAnsi" w:cstheme="minorHAnsi"/>
          <w:sz w:val="24"/>
          <w:szCs w:val="22"/>
        </w:rPr>
        <w:t xml:space="preserve"> Commercial Energy Solutions </w:t>
      </w:r>
      <w:r w:rsidR="00236998">
        <w:rPr>
          <w:rFonts w:asciiTheme="minorHAnsi" w:hAnsiTheme="minorHAnsi" w:cstheme="minorHAnsi"/>
          <w:sz w:val="24"/>
          <w:szCs w:val="22"/>
        </w:rPr>
        <w:t>t</w:t>
      </w:r>
      <w:r w:rsidRPr="003E74C0">
        <w:rPr>
          <w:rFonts w:asciiTheme="minorHAnsi" w:hAnsiTheme="minorHAnsi" w:cstheme="minorHAnsi"/>
          <w:sz w:val="24"/>
          <w:szCs w:val="22"/>
        </w:rPr>
        <w:t>eam prior to distribution. </w:t>
      </w:r>
      <w:r w:rsidR="00356CB6" w:rsidRPr="003E74C0">
        <w:rPr>
          <w:rFonts w:asciiTheme="minorHAnsi" w:hAnsiTheme="minorHAnsi" w:cstheme="minorHAnsi"/>
          <w:sz w:val="24"/>
          <w:szCs w:val="22"/>
        </w:rPr>
        <w:t>UES</w:t>
      </w:r>
      <w:r w:rsidRPr="003E74C0">
        <w:rPr>
          <w:rFonts w:asciiTheme="minorHAnsi" w:hAnsiTheme="minorHAnsi" w:cstheme="minorHAnsi"/>
          <w:sz w:val="24"/>
          <w:szCs w:val="22"/>
        </w:rPr>
        <w:t xml:space="preserve"> reserves the right to remove </w:t>
      </w:r>
      <w:r w:rsidR="00C322A7" w:rsidRPr="003E74C0">
        <w:rPr>
          <w:rFonts w:asciiTheme="minorHAnsi" w:hAnsiTheme="minorHAnsi" w:cstheme="minorHAnsi"/>
          <w:sz w:val="24"/>
          <w:szCs w:val="22"/>
        </w:rPr>
        <w:t>T</w:t>
      </w:r>
      <w:r w:rsidRPr="003E74C0">
        <w:rPr>
          <w:rFonts w:asciiTheme="minorHAnsi" w:hAnsiTheme="minorHAnsi" w:cstheme="minorHAnsi"/>
          <w:sz w:val="24"/>
          <w:szCs w:val="22"/>
        </w:rPr>
        <w:t xml:space="preserve">rade </w:t>
      </w:r>
      <w:r w:rsidR="00C322A7" w:rsidRPr="003E74C0">
        <w:rPr>
          <w:rFonts w:asciiTheme="minorHAnsi" w:hAnsiTheme="minorHAnsi" w:cstheme="minorHAnsi"/>
          <w:sz w:val="24"/>
          <w:szCs w:val="22"/>
        </w:rPr>
        <w:t>A</w:t>
      </w:r>
      <w:r w:rsidRPr="003E74C0">
        <w:rPr>
          <w:rFonts w:asciiTheme="minorHAnsi" w:hAnsiTheme="minorHAnsi" w:cstheme="minorHAnsi"/>
          <w:sz w:val="24"/>
          <w:szCs w:val="22"/>
        </w:rPr>
        <w:t>ll</w:t>
      </w:r>
      <w:r w:rsidR="009D3181" w:rsidRPr="003E74C0">
        <w:rPr>
          <w:rFonts w:asciiTheme="minorHAnsi" w:hAnsiTheme="minorHAnsi" w:cstheme="minorHAnsi"/>
          <w:sz w:val="24"/>
          <w:szCs w:val="22"/>
        </w:rPr>
        <w:t>ies</w:t>
      </w:r>
      <w:r w:rsidRPr="003E74C0">
        <w:rPr>
          <w:rFonts w:asciiTheme="minorHAnsi" w:hAnsiTheme="minorHAnsi" w:cstheme="minorHAnsi"/>
          <w:sz w:val="24"/>
          <w:szCs w:val="22"/>
        </w:rPr>
        <w:t xml:space="preserve"> and their associated compan</w:t>
      </w:r>
      <w:r w:rsidR="009D3181" w:rsidRPr="003E74C0">
        <w:rPr>
          <w:rFonts w:asciiTheme="minorHAnsi" w:hAnsiTheme="minorHAnsi" w:cstheme="minorHAnsi"/>
          <w:sz w:val="24"/>
          <w:szCs w:val="22"/>
        </w:rPr>
        <w:t>ies</w:t>
      </w:r>
      <w:r w:rsidRPr="003E74C0">
        <w:rPr>
          <w:rFonts w:asciiTheme="minorHAnsi" w:hAnsiTheme="minorHAnsi" w:cstheme="minorHAnsi"/>
          <w:sz w:val="24"/>
          <w:szCs w:val="22"/>
        </w:rPr>
        <w:t xml:space="preserve"> from the list</w:t>
      </w:r>
      <w:r w:rsidR="00A66268" w:rsidRPr="003E74C0">
        <w:rPr>
          <w:rFonts w:asciiTheme="minorHAnsi" w:hAnsiTheme="minorHAnsi" w:cstheme="minorHAnsi"/>
          <w:sz w:val="24"/>
          <w:szCs w:val="22"/>
        </w:rPr>
        <w:t xml:space="preserve"> of participating contractors</w:t>
      </w:r>
      <w:r w:rsidRPr="003E74C0">
        <w:rPr>
          <w:rFonts w:asciiTheme="minorHAnsi" w:hAnsiTheme="minorHAnsi" w:cstheme="minorHAnsi"/>
          <w:sz w:val="24"/>
          <w:szCs w:val="22"/>
        </w:rPr>
        <w:t xml:space="preserve"> if they do not comply with </w:t>
      </w:r>
      <w:r w:rsidR="00A66268" w:rsidRPr="003E74C0">
        <w:rPr>
          <w:rFonts w:asciiTheme="minorHAnsi" w:hAnsiTheme="minorHAnsi" w:cstheme="minorHAnsi"/>
          <w:sz w:val="24"/>
          <w:szCs w:val="22"/>
        </w:rPr>
        <w:t>program policies</w:t>
      </w:r>
      <w:r w:rsidRPr="003E74C0">
        <w:rPr>
          <w:rFonts w:asciiTheme="minorHAnsi" w:hAnsiTheme="minorHAnsi" w:cstheme="minorHAnsi"/>
          <w:sz w:val="24"/>
          <w:szCs w:val="22"/>
        </w:rPr>
        <w:t xml:space="preserve"> and procedures.</w:t>
      </w:r>
      <w:r w:rsidR="00356CB6" w:rsidRPr="003E74C0">
        <w:rPr>
          <w:rFonts w:asciiTheme="minorHAnsi" w:hAnsiTheme="minorHAnsi" w:cstheme="minorHAnsi"/>
          <w:sz w:val="24"/>
          <w:szCs w:val="22"/>
        </w:rPr>
        <w:t xml:space="preserve"> </w:t>
      </w:r>
    </w:p>
    <w:p w14:paraId="3856DF94" w14:textId="77777777" w:rsidR="00356CB6" w:rsidRPr="003E74C0" w:rsidRDefault="00356CB6" w:rsidP="0056447B">
      <w:pPr>
        <w:jc w:val="left"/>
        <w:rPr>
          <w:rFonts w:asciiTheme="minorHAnsi" w:hAnsiTheme="minorHAnsi" w:cstheme="minorHAnsi"/>
          <w:sz w:val="24"/>
          <w:szCs w:val="22"/>
        </w:rPr>
      </w:pPr>
    </w:p>
    <w:p w14:paraId="77CC0043" w14:textId="77777777" w:rsidR="0056447B" w:rsidRPr="003E74C0" w:rsidRDefault="00356CB6" w:rsidP="0056447B">
      <w:pPr>
        <w:jc w:val="left"/>
        <w:rPr>
          <w:rFonts w:asciiTheme="minorHAnsi" w:hAnsiTheme="minorHAnsi" w:cstheme="minorHAnsi"/>
          <w:sz w:val="24"/>
          <w:szCs w:val="22"/>
        </w:rPr>
      </w:pPr>
      <w:r w:rsidRPr="003E74C0">
        <w:rPr>
          <w:rFonts w:asciiTheme="minorHAnsi" w:hAnsiTheme="minorHAnsi" w:cstheme="minorHAnsi"/>
          <w:sz w:val="24"/>
          <w:szCs w:val="22"/>
        </w:rPr>
        <w:t>Program participants may be recognized in promotional materials; however, specific project details will not be released without prior consent. If a participant prefers to opt-out of any recognition, the company must notify DNV GL in a written letter.</w:t>
      </w:r>
    </w:p>
    <w:p w14:paraId="6832FFD3" w14:textId="77777777" w:rsidR="0056447B" w:rsidRPr="00CA2715" w:rsidRDefault="0056447B" w:rsidP="0056447B">
      <w:pPr>
        <w:jc w:val="left"/>
        <w:rPr>
          <w:rFonts w:asciiTheme="minorHAnsi" w:hAnsiTheme="minorHAnsi" w:cstheme="minorHAnsi"/>
          <w:szCs w:val="22"/>
        </w:rPr>
      </w:pPr>
    </w:p>
    <w:p w14:paraId="078D3AAA" w14:textId="77777777" w:rsidR="0056447B" w:rsidRPr="00CA2715" w:rsidRDefault="0056447B" w:rsidP="0056447B">
      <w:pPr>
        <w:pStyle w:val="Heading1"/>
        <w:spacing w:before="120" w:after="120"/>
        <w:jc w:val="left"/>
        <w:rPr>
          <w:rFonts w:asciiTheme="minorHAnsi" w:hAnsiTheme="minorHAnsi" w:cstheme="minorHAnsi"/>
        </w:rPr>
      </w:pPr>
      <w:bookmarkStart w:id="5" w:name="_Toc511029291"/>
      <w:bookmarkStart w:id="6" w:name="_Toc511996611"/>
      <w:r w:rsidRPr="00CA2715">
        <w:rPr>
          <w:rFonts w:asciiTheme="minorHAnsi" w:hAnsiTheme="minorHAnsi" w:cstheme="minorHAnsi"/>
        </w:rPr>
        <w:t>Customer Eligibility</w:t>
      </w:r>
      <w:bookmarkEnd w:id="5"/>
      <w:bookmarkEnd w:id="6"/>
    </w:p>
    <w:p w14:paraId="50104CA5" w14:textId="2B09700E" w:rsidR="0056447B" w:rsidRPr="00356CB6" w:rsidRDefault="00356CB6" w:rsidP="0056447B">
      <w:pPr>
        <w:jc w:val="left"/>
        <w:rPr>
          <w:rFonts w:asciiTheme="minorHAnsi" w:hAnsiTheme="minorHAnsi" w:cstheme="minorHAnsi"/>
        </w:rPr>
      </w:pPr>
      <w:r w:rsidRPr="00356CB6">
        <w:rPr>
          <w:rFonts w:asciiTheme="minorHAnsi" w:hAnsiTheme="minorHAnsi" w:cstheme="minorHAnsi"/>
        </w:rPr>
        <w:t>The Commercial Energy Solutions program is open to non-residential customers in the UES gas service territory. A customer’s rate schedule will determine their initial program eligibility. The energy savings from installed measures must occur on a meter with an eligible rate schedule. Eligible rate schedules include, but are not limited to: C20, C22, I-30, I-32, PA-40, PA-42, PA-44,</w:t>
      </w:r>
      <w:r w:rsidR="00B91374">
        <w:rPr>
          <w:rFonts w:asciiTheme="minorHAnsi" w:hAnsiTheme="minorHAnsi" w:cstheme="minorHAnsi"/>
        </w:rPr>
        <w:t xml:space="preserve"> and</w:t>
      </w:r>
      <w:r w:rsidRPr="00356CB6">
        <w:rPr>
          <w:rFonts w:asciiTheme="minorHAnsi" w:hAnsiTheme="minorHAnsi" w:cstheme="minorHAnsi"/>
        </w:rPr>
        <w:t xml:space="preserve"> IR-60. All work must be completed in the same year as the application submission. The deadline for submissions is </w:t>
      </w:r>
      <w:r w:rsidR="00296168">
        <w:rPr>
          <w:rFonts w:asciiTheme="minorHAnsi" w:hAnsiTheme="minorHAnsi" w:cstheme="minorHAnsi"/>
        </w:rPr>
        <w:t>December 1</w:t>
      </w:r>
      <w:r w:rsidRPr="00356CB6">
        <w:rPr>
          <w:rFonts w:asciiTheme="minorHAnsi" w:hAnsiTheme="minorHAnsi" w:cstheme="minorHAnsi"/>
        </w:rPr>
        <w:t xml:space="preserve"> of the current program year.</w:t>
      </w:r>
    </w:p>
    <w:p w14:paraId="1C593B52" w14:textId="77777777" w:rsidR="0056447B" w:rsidRPr="00CA2715" w:rsidRDefault="0056447B" w:rsidP="0056447B">
      <w:pPr>
        <w:pStyle w:val="Heading1"/>
        <w:spacing w:before="120" w:after="120"/>
        <w:jc w:val="left"/>
        <w:rPr>
          <w:rFonts w:asciiTheme="minorHAnsi" w:hAnsiTheme="minorHAnsi" w:cstheme="minorHAnsi"/>
        </w:rPr>
      </w:pPr>
      <w:bookmarkStart w:id="7" w:name="_Toc511029292"/>
      <w:bookmarkStart w:id="8" w:name="_Toc511996612"/>
      <w:r w:rsidRPr="00CA2715">
        <w:rPr>
          <w:rFonts w:asciiTheme="minorHAnsi" w:hAnsiTheme="minorHAnsi" w:cstheme="minorHAnsi"/>
        </w:rPr>
        <w:t>Tax Implications</w:t>
      </w:r>
      <w:bookmarkEnd w:id="7"/>
      <w:bookmarkEnd w:id="8"/>
    </w:p>
    <w:p w14:paraId="2645896A" w14:textId="77777777" w:rsidR="0056447B" w:rsidRPr="003E74C0" w:rsidRDefault="0056447B" w:rsidP="0056447B">
      <w:pPr>
        <w:jc w:val="left"/>
        <w:rPr>
          <w:rFonts w:asciiTheme="minorHAnsi" w:hAnsiTheme="minorHAnsi" w:cstheme="minorHAnsi"/>
          <w:sz w:val="24"/>
        </w:rPr>
      </w:pPr>
      <w:r w:rsidRPr="003E74C0">
        <w:rPr>
          <w:rFonts w:asciiTheme="minorHAnsi" w:hAnsiTheme="minorHAnsi" w:cstheme="minorHAnsi"/>
          <w:sz w:val="24"/>
        </w:rPr>
        <w:t>Applicants are responsible for any tax liability associated with the receipt of rebate payments.</w:t>
      </w:r>
    </w:p>
    <w:p w14:paraId="54B56C11" w14:textId="77777777" w:rsidR="0056447B" w:rsidRPr="003E74C0" w:rsidRDefault="0056447B" w:rsidP="0056447B">
      <w:pPr>
        <w:jc w:val="left"/>
        <w:rPr>
          <w:rFonts w:asciiTheme="minorHAnsi" w:hAnsiTheme="minorHAnsi" w:cstheme="minorHAnsi"/>
          <w:sz w:val="14"/>
          <w:szCs w:val="12"/>
        </w:rPr>
      </w:pPr>
    </w:p>
    <w:p w14:paraId="4EFFA9BB" w14:textId="77777777" w:rsidR="00356CB6" w:rsidRPr="003E74C0" w:rsidRDefault="00356CB6" w:rsidP="00356CB6">
      <w:pPr>
        <w:pStyle w:val="ListParagraph"/>
        <w:numPr>
          <w:ilvl w:val="0"/>
          <w:numId w:val="34"/>
        </w:numPr>
        <w:rPr>
          <w:rFonts w:cstheme="minorHAnsi"/>
          <w:sz w:val="24"/>
        </w:rPr>
      </w:pPr>
      <w:r w:rsidRPr="003E74C0">
        <w:rPr>
          <w:rFonts w:cstheme="minorHAnsi"/>
          <w:sz w:val="24"/>
        </w:rPr>
        <w:t xml:space="preserve">Incentives are taxable and, if greater than $600, will be reported to the IRS unless you are exempt. </w:t>
      </w:r>
    </w:p>
    <w:p w14:paraId="411F57CE" w14:textId="77777777" w:rsidR="00356CB6" w:rsidRPr="003E74C0" w:rsidRDefault="00356CB6" w:rsidP="00356CB6">
      <w:pPr>
        <w:pStyle w:val="ListParagraph"/>
        <w:numPr>
          <w:ilvl w:val="1"/>
          <w:numId w:val="34"/>
        </w:numPr>
        <w:rPr>
          <w:rFonts w:cstheme="minorHAnsi"/>
          <w:sz w:val="24"/>
        </w:rPr>
      </w:pPr>
      <w:r w:rsidRPr="003E74C0">
        <w:rPr>
          <w:rFonts w:cstheme="minorHAnsi"/>
          <w:sz w:val="24"/>
        </w:rPr>
        <w:t xml:space="preserve">The Commercial Energy Solutions team will report your incentive as income to you on IRS Form 1099 unless you have indicated Corporation or Exempt tax status on the Applicant Information page of the Application.  </w:t>
      </w:r>
    </w:p>
    <w:p w14:paraId="6A7850C0" w14:textId="77777777" w:rsidR="00356CB6" w:rsidRPr="003E74C0" w:rsidRDefault="00356CB6" w:rsidP="00356CB6">
      <w:pPr>
        <w:pStyle w:val="ListParagraph"/>
        <w:numPr>
          <w:ilvl w:val="0"/>
          <w:numId w:val="34"/>
        </w:numPr>
        <w:rPr>
          <w:rFonts w:cstheme="minorHAnsi"/>
          <w:sz w:val="24"/>
        </w:rPr>
      </w:pPr>
      <w:r w:rsidRPr="003E74C0">
        <w:rPr>
          <w:rFonts w:cstheme="minorHAnsi"/>
          <w:sz w:val="24"/>
        </w:rPr>
        <w:t xml:space="preserve">If the customer signs over the incentive to a third party (e.g., contractor), then the third party will receive Form 1099 and is responsible for any tax liability. </w:t>
      </w:r>
    </w:p>
    <w:p w14:paraId="24BECA91" w14:textId="77777777" w:rsidR="00356CB6" w:rsidRPr="003E74C0" w:rsidRDefault="00356CB6" w:rsidP="00356CB6">
      <w:pPr>
        <w:pStyle w:val="ListParagraph"/>
        <w:numPr>
          <w:ilvl w:val="0"/>
          <w:numId w:val="34"/>
        </w:numPr>
        <w:rPr>
          <w:rFonts w:cstheme="minorHAnsi"/>
          <w:sz w:val="24"/>
        </w:rPr>
      </w:pPr>
      <w:r w:rsidRPr="003E74C0">
        <w:rPr>
          <w:rFonts w:cstheme="minorHAnsi"/>
          <w:sz w:val="24"/>
        </w:rPr>
        <w:lastRenderedPageBreak/>
        <w:t>Third party payees will be required to submit a signed W9. The W9 must be filled in correctly and completely before the incentive is submitted for payment.</w:t>
      </w:r>
    </w:p>
    <w:p w14:paraId="466DD6F8" w14:textId="77777777" w:rsidR="00356CB6" w:rsidRPr="003E74C0" w:rsidRDefault="00356CB6" w:rsidP="00356CB6">
      <w:pPr>
        <w:pStyle w:val="ListParagraph"/>
        <w:numPr>
          <w:ilvl w:val="0"/>
          <w:numId w:val="34"/>
        </w:numPr>
        <w:rPr>
          <w:rFonts w:cstheme="minorHAnsi"/>
          <w:sz w:val="24"/>
        </w:rPr>
      </w:pPr>
      <w:r w:rsidRPr="003E74C0">
        <w:rPr>
          <w:rFonts w:cstheme="minorHAnsi"/>
          <w:sz w:val="24"/>
        </w:rPr>
        <w:t xml:space="preserve">UniSource Energy </w:t>
      </w:r>
      <w:r w:rsidR="00236998">
        <w:rPr>
          <w:rFonts w:cstheme="minorHAnsi"/>
          <w:sz w:val="24"/>
        </w:rPr>
        <w:t>Services</w:t>
      </w:r>
      <w:r w:rsidR="00236998" w:rsidRPr="003E74C0">
        <w:rPr>
          <w:rFonts w:cstheme="minorHAnsi"/>
          <w:sz w:val="24"/>
        </w:rPr>
        <w:t xml:space="preserve"> </w:t>
      </w:r>
      <w:r w:rsidRPr="003E74C0">
        <w:rPr>
          <w:rFonts w:cstheme="minorHAnsi"/>
          <w:sz w:val="24"/>
        </w:rPr>
        <w:t xml:space="preserve">and DNV GL are not responsible for any taxes that may be imposed on your business as a result of your receipt of this incentive. </w:t>
      </w:r>
    </w:p>
    <w:p w14:paraId="7EDCCE11" w14:textId="77777777" w:rsidR="00895804" w:rsidRPr="00CA2715" w:rsidRDefault="00895804" w:rsidP="00CA2715">
      <w:pPr>
        <w:jc w:val="left"/>
        <w:rPr>
          <w:rFonts w:asciiTheme="minorHAnsi" w:hAnsiTheme="minorHAnsi" w:cstheme="minorHAnsi"/>
        </w:rPr>
      </w:pPr>
    </w:p>
    <w:p w14:paraId="77DA6A8B" w14:textId="77777777" w:rsidR="0056447B" w:rsidRPr="00CA2715" w:rsidRDefault="0056447B" w:rsidP="0056447B">
      <w:pPr>
        <w:pStyle w:val="Heading1"/>
        <w:spacing w:before="120" w:after="120"/>
        <w:jc w:val="left"/>
        <w:rPr>
          <w:rFonts w:asciiTheme="minorHAnsi" w:hAnsiTheme="minorHAnsi" w:cstheme="minorHAnsi"/>
        </w:rPr>
      </w:pPr>
      <w:bookmarkStart w:id="9" w:name="_Toc511029293"/>
      <w:bookmarkStart w:id="10" w:name="_Toc511996613"/>
      <w:r w:rsidRPr="00CA2715">
        <w:rPr>
          <w:rFonts w:asciiTheme="minorHAnsi" w:hAnsiTheme="minorHAnsi" w:cstheme="minorHAnsi"/>
        </w:rPr>
        <w:t>Project Terms and Conditions</w:t>
      </w:r>
      <w:bookmarkEnd w:id="9"/>
      <w:bookmarkEnd w:id="10"/>
    </w:p>
    <w:p w14:paraId="113646D1" w14:textId="77777777" w:rsidR="0056447B" w:rsidRPr="003E74C0" w:rsidRDefault="0056447B" w:rsidP="0056447B">
      <w:pPr>
        <w:pStyle w:val="ParaText"/>
        <w:spacing w:line="240" w:lineRule="auto"/>
        <w:jc w:val="left"/>
        <w:rPr>
          <w:rFonts w:asciiTheme="minorHAnsi" w:hAnsiTheme="minorHAnsi" w:cstheme="minorHAnsi"/>
          <w:sz w:val="24"/>
        </w:rPr>
      </w:pPr>
      <w:r w:rsidRPr="003E74C0">
        <w:rPr>
          <w:rFonts w:asciiTheme="minorHAnsi" w:hAnsiTheme="minorHAnsi" w:cstheme="minorHAnsi"/>
          <w:sz w:val="24"/>
        </w:rPr>
        <w:t xml:space="preserve">Program applicants must abide by all program rules detailed in this </w:t>
      </w:r>
      <w:r w:rsidR="00895804" w:rsidRPr="003E74C0">
        <w:rPr>
          <w:rFonts w:asciiTheme="minorHAnsi" w:hAnsiTheme="minorHAnsi" w:cstheme="minorHAnsi"/>
          <w:sz w:val="24"/>
        </w:rPr>
        <w:t>manual</w:t>
      </w:r>
      <w:r w:rsidRPr="003E74C0">
        <w:rPr>
          <w:rFonts w:asciiTheme="minorHAnsi" w:hAnsiTheme="minorHAnsi" w:cstheme="minorHAnsi"/>
          <w:sz w:val="24"/>
        </w:rPr>
        <w:t xml:space="preserve">, the application document(s) and the </w:t>
      </w:r>
      <w:r w:rsidR="00895804" w:rsidRPr="003E74C0">
        <w:rPr>
          <w:rFonts w:asciiTheme="minorHAnsi" w:hAnsiTheme="minorHAnsi" w:cstheme="minorHAnsi"/>
          <w:sz w:val="24"/>
        </w:rPr>
        <w:t>Agreement Form</w:t>
      </w:r>
      <w:r w:rsidRPr="003E74C0">
        <w:rPr>
          <w:rFonts w:asciiTheme="minorHAnsi" w:hAnsiTheme="minorHAnsi" w:cstheme="minorHAnsi"/>
          <w:sz w:val="24"/>
        </w:rPr>
        <w:t xml:space="preserve">. By signing the application </w:t>
      </w:r>
      <w:r w:rsidR="00895804" w:rsidRPr="003E74C0">
        <w:rPr>
          <w:rFonts w:asciiTheme="minorHAnsi" w:hAnsiTheme="minorHAnsi" w:cstheme="minorHAnsi"/>
          <w:sz w:val="24"/>
        </w:rPr>
        <w:t>Agreement Form</w:t>
      </w:r>
      <w:r w:rsidRPr="003E74C0">
        <w:rPr>
          <w:rFonts w:asciiTheme="minorHAnsi" w:hAnsiTheme="minorHAnsi" w:cstheme="minorHAnsi"/>
          <w:sz w:val="24"/>
        </w:rPr>
        <w:t xml:space="preserve">, the </w:t>
      </w:r>
      <w:r w:rsidR="00895804" w:rsidRPr="003E74C0">
        <w:rPr>
          <w:rFonts w:asciiTheme="minorHAnsi" w:hAnsiTheme="minorHAnsi" w:cstheme="minorHAnsi"/>
          <w:sz w:val="24"/>
        </w:rPr>
        <w:t xml:space="preserve">applicant </w:t>
      </w:r>
      <w:r w:rsidRPr="003E74C0">
        <w:rPr>
          <w:rFonts w:asciiTheme="minorHAnsi" w:hAnsiTheme="minorHAnsi" w:cstheme="minorHAnsi"/>
          <w:sz w:val="24"/>
        </w:rPr>
        <w:t xml:space="preserve">agrees to all rules and requirements in place on the date of signature. Customers should reference the program measure worksheets for technical requirements. </w:t>
      </w:r>
    </w:p>
    <w:p w14:paraId="6A477E30" w14:textId="77777777" w:rsidR="00D53615" w:rsidRPr="003E74C0" w:rsidRDefault="00D53615" w:rsidP="0056447B">
      <w:pPr>
        <w:pStyle w:val="ParaText"/>
        <w:spacing w:line="240" w:lineRule="auto"/>
        <w:jc w:val="left"/>
        <w:rPr>
          <w:rFonts w:asciiTheme="minorHAnsi" w:hAnsiTheme="minorHAnsi" w:cstheme="minorHAnsi"/>
          <w:sz w:val="24"/>
        </w:rPr>
      </w:pPr>
      <w:r w:rsidRPr="003E74C0">
        <w:rPr>
          <w:rFonts w:asciiTheme="minorHAnsi" w:hAnsiTheme="minorHAnsi" w:cstheme="minorHAnsi"/>
          <w:sz w:val="24"/>
        </w:rPr>
        <w:t>The following stipulations must be met for an application to qualify:</w:t>
      </w:r>
    </w:p>
    <w:p w14:paraId="53C0F577" w14:textId="77777777" w:rsidR="00D53615" w:rsidRPr="003E74C0" w:rsidRDefault="00D53615" w:rsidP="009C6947">
      <w:pPr>
        <w:pStyle w:val="ParaText"/>
        <w:numPr>
          <w:ilvl w:val="0"/>
          <w:numId w:val="35"/>
        </w:numPr>
        <w:spacing w:after="0" w:line="240" w:lineRule="auto"/>
        <w:jc w:val="left"/>
        <w:rPr>
          <w:rFonts w:asciiTheme="minorHAnsi" w:hAnsiTheme="minorHAnsi" w:cstheme="minorHAnsi"/>
          <w:sz w:val="24"/>
        </w:rPr>
      </w:pPr>
      <w:r w:rsidRPr="003E74C0">
        <w:rPr>
          <w:rFonts w:asciiTheme="minorHAnsi" w:hAnsiTheme="minorHAnsi" w:cstheme="minorHAnsi"/>
          <w:sz w:val="24"/>
        </w:rPr>
        <w:t xml:space="preserve">Measures must involve capital improvements that produce energy savings due to efficiency gains. Savings must be sustainable for a period of five years and provide the full benefit of the related energy savings to the customer and UES.  </w:t>
      </w:r>
    </w:p>
    <w:p w14:paraId="2C95C400" w14:textId="77777777" w:rsidR="00D53615" w:rsidRPr="003E74C0" w:rsidRDefault="00D53615" w:rsidP="009C6947">
      <w:pPr>
        <w:pStyle w:val="ParaText"/>
        <w:numPr>
          <w:ilvl w:val="0"/>
          <w:numId w:val="35"/>
        </w:numPr>
        <w:spacing w:after="0" w:line="240" w:lineRule="auto"/>
        <w:jc w:val="left"/>
        <w:rPr>
          <w:rFonts w:asciiTheme="minorHAnsi" w:hAnsiTheme="minorHAnsi" w:cstheme="minorHAnsi"/>
          <w:sz w:val="24"/>
        </w:rPr>
      </w:pPr>
      <w:r w:rsidRPr="003E74C0">
        <w:rPr>
          <w:rFonts w:asciiTheme="minorHAnsi" w:hAnsiTheme="minorHAnsi" w:cstheme="minorHAnsi"/>
          <w:sz w:val="24"/>
        </w:rPr>
        <w:t xml:space="preserve">The applicant must provide documentation establishing proof of payment for the equipment installed and must agree to allow sales transaction and/or equipment installation verification by the utility, DNV GL or their representative. </w:t>
      </w:r>
    </w:p>
    <w:p w14:paraId="088D11D0" w14:textId="77777777" w:rsidR="00D53615" w:rsidRPr="003E74C0" w:rsidRDefault="00D53615" w:rsidP="009C6947">
      <w:pPr>
        <w:pStyle w:val="ParaText"/>
        <w:numPr>
          <w:ilvl w:val="0"/>
          <w:numId w:val="35"/>
        </w:numPr>
        <w:spacing w:after="0" w:line="240" w:lineRule="auto"/>
        <w:jc w:val="left"/>
        <w:rPr>
          <w:rFonts w:asciiTheme="minorHAnsi" w:hAnsiTheme="minorHAnsi" w:cstheme="minorHAnsi"/>
          <w:sz w:val="24"/>
        </w:rPr>
      </w:pPr>
      <w:r w:rsidRPr="003E74C0">
        <w:rPr>
          <w:rFonts w:asciiTheme="minorHAnsi" w:hAnsiTheme="minorHAnsi" w:cstheme="minorHAnsi"/>
          <w:sz w:val="24"/>
        </w:rPr>
        <w:t xml:space="preserve">If the customer does not install or removes the product(s) identified, as submitted in their final application, at any time before the end of the life of the product or during the five-year period after the receipt of the incentive (whichever is less), the customer shall return a prorated amount of incentive funds to UES based on the actual period of time in which the customer does not provide the related energy benefits as a customer of UES.  </w:t>
      </w:r>
    </w:p>
    <w:p w14:paraId="26F11BED" w14:textId="77777777" w:rsidR="00D53615" w:rsidRPr="003E74C0" w:rsidRDefault="00D53615" w:rsidP="009C6947">
      <w:pPr>
        <w:pStyle w:val="ParaText"/>
        <w:numPr>
          <w:ilvl w:val="0"/>
          <w:numId w:val="35"/>
        </w:numPr>
        <w:spacing w:after="0" w:line="240" w:lineRule="auto"/>
        <w:jc w:val="left"/>
        <w:rPr>
          <w:rFonts w:asciiTheme="minorHAnsi" w:hAnsiTheme="minorHAnsi" w:cstheme="minorHAnsi"/>
          <w:sz w:val="24"/>
        </w:rPr>
      </w:pPr>
      <w:r w:rsidRPr="003E74C0">
        <w:rPr>
          <w:rFonts w:asciiTheme="minorHAnsi" w:hAnsiTheme="minorHAnsi" w:cstheme="minorHAnsi"/>
          <w:sz w:val="24"/>
        </w:rPr>
        <w:t xml:space="preserve">The program is NOT meant to provide incentives for fuel switching (e.g. from gas to electric), renewables, onsite generation or electric equipment projects. </w:t>
      </w:r>
    </w:p>
    <w:p w14:paraId="0AC911E4" w14:textId="77777777" w:rsidR="00D53615" w:rsidRPr="003E74C0" w:rsidRDefault="00D53615" w:rsidP="009C6947">
      <w:pPr>
        <w:pStyle w:val="ParaText"/>
        <w:numPr>
          <w:ilvl w:val="0"/>
          <w:numId w:val="35"/>
        </w:numPr>
        <w:spacing w:after="0" w:line="240" w:lineRule="auto"/>
        <w:jc w:val="left"/>
        <w:rPr>
          <w:rFonts w:asciiTheme="minorHAnsi" w:hAnsiTheme="minorHAnsi" w:cstheme="minorHAnsi"/>
          <w:sz w:val="24"/>
        </w:rPr>
      </w:pPr>
      <w:r w:rsidRPr="003E74C0">
        <w:rPr>
          <w:rFonts w:asciiTheme="minorHAnsi" w:hAnsiTheme="minorHAnsi" w:cstheme="minorHAnsi"/>
          <w:sz w:val="24"/>
        </w:rPr>
        <w:t>Any materials that are removed as part of a retrofit project must be disposed of properly.</w:t>
      </w:r>
    </w:p>
    <w:p w14:paraId="5EC0138B" w14:textId="77777777" w:rsidR="009C6947" w:rsidRPr="003E74C0" w:rsidRDefault="009C6947" w:rsidP="0056447B">
      <w:pPr>
        <w:pStyle w:val="ParaText"/>
        <w:spacing w:line="240" w:lineRule="auto"/>
        <w:jc w:val="left"/>
        <w:rPr>
          <w:rFonts w:asciiTheme="minorHAnsi" w:hAnsiTheme="minorHAnsi" w:cstheme="minorHAnsi"/>
          <w:b/>
          <w:sz w:val="24"/>
        </w:rPr>
      </w:pPr>
    </w:p>
    <w:p w14:paraId="09BAB2C9" w14:textId="6A941F81" w:rsidR="00D3154A" w:rsidRPr="003E74C0" w:rsidRDefault="00D3154A" w:rsidP="0056447B">
      <w:pPr>
        <w:pStyle w:val="ParaText"/>
        <w:spacing w:line="240" w:lineRule="auto"/>
        <w:jc w:val="left"/>
        <w:rPr>
          <w:rFonts w:asciiTheme="minorHAnsi" w:hAnsiTheme="minorHAnsi" w:cstheme="minorHAnsi"/>
          <w:sz w:val="24"/>
        </w:rPr>
      </w:pPr>
      <w:r w:rsidRPr="003E74C0">
        <w:rPr>
          <w:rFonts w:asciiTheme="minorHAnsi" w:hAnsiTheme="minorHAnsi" w:cstheme="minorHAnsi"/>
          <w:b/>
          <w:sz w:val="24"/>
        </w:rPr>
        <w:t xml:space="preserve">A </w:t>
      </w:r>
      <w:r w:rsidR="00D80271" w:rsidRPr="003E74C0">
        <w:rPr>
          <w:rFonts w:asciiTheme="minorHAnsi" w:hAnsiTheme="minorHAnsi" w:cstheme="minorHAnsi"/>
          <w:b/>
          <w:sz w:val="24"/>
        </w:rPr>
        <w:t>P</w:t>
      </w:r>
      <w:r w:rsidRPr="003E74C0">
        <w:rPr>
          <w:rFonts w:asciiTheme="minorHAnsi" w:hAnsiTheme="minorHAnsi" w:cstheme="minorHAnsi"/>
          <w:b/>
          <w:sz w:val="24"/>
        </w:rPr>
        <w:t>re-</w:t>
      </w:r>
      <w:r w:rsidR="00D80271" w:rsidRPr="003E74C0">
        <w:rPr>
          <w:rFonts w:asciiTheme="minorHAnsi" w:hAnsiTheme="minorHAnsi" w:cstheme="minorHAnsi"/>
          <w:b/>
          <w:sz w:val="24"/>
        </w:rPr>
        <w:t>A</w:t>
      </w:r>
      <w:r w:rsidRPr="003E74C0">
        <w:rPr>
          <w:rFonts w:asciiTheme="minorHAnsi" w:hAnsiTheme="minorHAnsi" w:cstheme="minorHAnsi"/>
          <w:b/>
          <w:sz w:val="24"/>
        </w:rPr>
        <w:t xml:space="preserve">pproval </w:t>
      </w:r>
      <w:r w:rsidR="00D80271" w:rsidRPr="003E74C0">
        <w:rPr>
          <w:rFonts w:asciiTheme="minorHAnsi" w:hAnsiTheme="minorHAnsi" w:cstheme="minorHAnsi"/>
          <w:b/>
          <w:sz w:val="24"/>
        </w:rPr>
        <w:t>A</w:t>
      </w:r>
      <w:r w:rsidRPr="003E74C0">
        <w:rPr>
          <w:rFonts w:asciiTheme="minorHAnsi" w:hAnsiTheme="minorHAnsi" w:cstheme="minorHAnsi"/>
          <w:b/>
          <w:sz w:val="24"/>
        </w:rPr>
        <w:t xml:space="preserve">pplication is </w:t>
      </w:r>
      <w:r w:rsidR="00895804" w:rsidRPr="003E74C0">
        <w:rPr>
          <w:rFonts w:asciiTheme="minorHAnsi" w:hAnsiTheme="minorHAnsi" w:cstheme="minorHAnsi"/>
          <w:b/>
          <w:sz w:val="24"/>
        </w:rPr>
        <w:t xml:space="preserve">required </w:t>
      </w:r>
      <w:r w:rsidRPr="003E74C0">
        <w:rPr>
          <w:rFonts w:asciiTheme="minorHAnsi" w:hAnsiTheme="minorHAnsi" w:cstheme="minorHAnsi"/>
          <w:b/>
          <w:sz w:val="24"/>
        </w:rPr>
        <w:t>for all incentive projects.</w:t>
      </w:r>
      <w:r w:rsidRPr="003E74C0">
        <w:rPr>
          <w:rFonts w:asciiTheme="minorHAnsi" w:hAnsiTheme="minorHAnsi" w:cstheme="minorHAnsi"/>
          <w:sz w:val="24"/>
        </w:rPr>
        <w:t xml:space="preserve"> </w:t>
      </w:r>
      <w:r w:rsidR="004D639A" w:rsidRPr="003E74C0">
        <w:rPr>
          <w:rFonts w:asciiTheme="minorHAnsi" w:hAnsiTheme="minorHAnsi" w:cstheme="minorHAnsi"/>
          <w:sz w:val="24"/>
        </w:rPr>
        <w:t xml:space="preserve">The Pre-Approval Application for incentives must include sufficient information (equipment specifications, scope of work and incentive worksheets) to estimate an incentive amount. </w:t>
      </w:r>
      <w:r w:rsidRPr="003E74C0">
        <w:rPr>
          <w:rFonts w:asciiTheme="minorHAnsi" w:hAnsiTheme="minorHAnsi" w:cstheme="minorHAnsi"/>
          <w:sz w:val="24"/>
        </w:rPr>
        <w:t xml:space="preserve">The pre-approval process </w:t>
      </w:r>
      <w:r w:rsidR="00895804" w:rsidRPr="003E74C0">
        <w:rPr>
          <w:rFonts w:asciiTheme="minorHAnsi" w:hAnsiTheme="minorHAnsi" w:cstheme="minorHAnsi"/>
          <w:sz w:val="24"/>
        </w:rPr>
        <w:t xml:space="preserve">reserves </w:t>
      </w:r>
      <w:r w:rsidRPr="003E74C0">
        <w:rPr>
          <w:rFonts w:asciiTheme="minorHAnsi" w:hAnsiTheme="minorHAnsi" w:cstheme="minorHAnsi"/>
          <w:sz w:val="24"/>
        </w:rPr>
        <w:t xml:space="preserve">funding for a specific project for 90 days. One </w:t>
      </w:r>
      <w:r w:rsidR="00895804" w:rsidRPr="003E74C0">
        <w:rPr>
          <w:rFonts w:asciiTheme="minorHAnsi" w:hAnsiTheme="minorHAnsi" w:cstheme="minorHAnsi"/>
          <w:sz w:val="24"/>
        </w:rPr>
        <w:t xml:space="preserve">30-day </w:t>
      </w:r>
      <w:r w:rsidRPr="003E74C0">
        <w:rPr>
          <w:rFonts w:asciiTheme="minorHAnsi" w:hAnsiTheme="minorHAnsi" w:cstheme="minorHAnsi"/>
          <w:sz w:val="24"/>
        </w:rPr>
        <w:t xml:space="preserve">extension </w:t>
      </w:r>
      <w:r w:rsidR="00895804" w:rsidRPr="003E74C0">
        <w:rPr>
          <w:rFonts w:asciiTheme="minorHAnsi" w:hAnsiTheme="minorHAnsi" w:cstheme="minorHAnsi"/>
          <w:sz w:val="24"/>
        </w:rPr>
        <w:t xml:space="preserve">may be requested </w:t>
      </w:r>
      <w:r w:rsidR="00846F1B" w:rsidRPr="003E74C0">
        <w:rPr>
          <w:rFonts w:asciiTheme="minorHAnsi" w:hAnsiTheme="minorHAnsi" w:cstheme="minorHAnsi"/>
          <w:sz w:val="24"/>
        </w:rPr>
        <w:t xml:space="preserve">in writing </w:t>
      </w:r>
      <w:r w:rsidRPr="003E74C0">
        <w:rPr>
          <w:rFonts w:asciiTheme="minorHAnsi" w:hAnsiTheme="minorHAnsi" w:cstheme="minorHAnsi"/>
          <w:sz w:val="24"/>
        </w:rPr>
        <w:t xml:space="preserve">with required documentation showing that the project is </w:t>
      </w:r>
      <w:r w:rsidR="00846F1B" w:rsidRPr="003E74C0">
        <w:rPr>
          <w:rFonts w:asciiTheme="minorHAnsi" w:hAnsiTheme="minorHAnsi" w:cstheme="minorHAnsi"/>
          <w:sz w:val="24"/>
        </w:rPr>
        <w:t>progressing</w:t>
      </w:r>
      <w:r w:rsidRPr="003E74C0">
        <w:rPr>
          <w:rFonts w:asciiTheme="minorHAnsi" w:hAnsiTheme="minorHAnsi" w:cstheme="minorHAnsi"/>
          <w:sz w:val="24"/>
        </w:rPr>
        <w:t>.</w:t>
      </w:r>
      <w:r w:rsidR="00F00D4F">
        <w:rPr>
          <w:rFonts w:asciiTheme="minorHAnsi" w:hAnsiTheme="minorHAnsi" w:cstheme="minorHAnsi"/>
          <w:sz w:val="24"/>
        </w:rPr>
        <w:t xml:space="preserve"> </w:t>
      </w:r>
      <w:r w:rsidR="00F00D4F">
        <w:rPr>
          <w:rFonts w:asciiTheme="minorHAnsi" w:hAnsiTheme="minorHAnsi" w:cstheme="minorHAnsi"/>
        </w:rPr>
        <w:t>A longer extension may be approved depending on the scope of the project and funding availability, but it is not guaranteed.</w:t>
      </w:r>
      <w:r w:rsidR="00F00D4F" w:rsidRPr="00CA2715">
        <w:rPr>
          <w:rFonts w:asciiTheme="minorHAnsi" w:hAnsiTheme="minorHAnsi" w:cstheme="minorHAnsi"/>
        </w:rPr>
        <w:t xml:space="preserve"> </w:t>
      </w:r>
      <w:r w:rsidRPr="003E74C0">
        <w:rPr>
          <w:rFonts w:asciiTheme="minorHAnsi" w:hAnsiTheme="minorHAnsi" w:cstheme="minorHAnsi"/>
          <w:sz w:val="24"/>
        </w:rPr>
        <w:t xml:space="preserve"> </w:t>
      </w:r>
      <w:r w:rsidR="00846F1B" w:rsidRPr="003E74C0">
        <w:rPr>
          <w:rFonts w:asciiTheme="minorHAnsi" w:hAnsiTheme="minorHAnsi" w:cstheme="minorHAnsi"/>
          <w:sz w:val="24"/>
        </w:rPr>
        <w:t>Applicants</w:t>
      </w:r>
      <w:r w:rsidRPr="003E74C0">
        <w:rPr>
          <w:rFonts w:asciiTheme="minorHAnsi" w:hAnsiTheme="minorHAnsi" w:cstheme="minorHAnsi"/>
          <w:sz w:val="24"/>
        </w:rPr>
        <w:t xml:space="preserve"> must contact the Commercial Energy Solutions team if a project is delayed, incentives increase or </w:t>
      </w:r>
      <w:r w:rsidR="00846F1B" w:rsidRPr="003E74C0">
        <w:rPr>
          <w:rFonts w:asciiTheme="minorHAnsi" w:hAnsiTheme="minorHAnsi" w:cstheme="minorHAnsi"/>
          <w:sz w:val="24"/>
        </w:rPr>
        <w:t xml:space="preserve">the project is </w:t>
      </w:r>
      <w:r w:rsidRPr="003E74C0">
        <w:rPr>
          <w:rFonts w:asciiTheme="minorHAnsi" w:hAnsiTheme="minorHAnsi" w:cstheme="minorHAnsi"/>
          <w:sz w:val="24"/>
        </w:rPr>
        <w:t xml:space="preserve">cancelled. Reserved funds are not transferable to other projects, facilities, campuses, </w:t>
      </w:r>
      <w:r w:rsidR="00846F1B" w:rsidRPr="003E74C0">
        <w:rPr>
          <w:rFonts w:asciiTheme="minorHAnsi" w:hAnsiTheme="minorHAnsi" w:cstheme="minorHAnsi"/>
          <w:sz w:val="24"/>
        </w:rPr>
        <w:t>t</w:t>
      </w:r>
      <w:r w:rsidRPr="003E74C0">
        <w:rPr>
          <w:rFonts w:asciiTheme="minorHAnsi" w:hAnsiTheme="minorHAnsi" w:cstheme="minorHAnsi"/>
          <w:sz w:val="24"/>
        </w:rPr>
        <w:t xml:space="preserve">rade </w:t>
      </w:r>
      <w:r w:rsidR="00846F1B" w:rsidRPr="003E74C0">
        <w:rPr>
          <w:rFonts w:asciiTheme="minorHAnsi" w:hAnsiTheme="minorHAnsi" w:cstheme="minorHAnsi"/>
          <w:sz w:val="24"/>
        </w:rPr>
        <w:t>a</w:t>
      </w:r>
      <w:r w:rsidRPr="003E74C0">
        <w:rPr>
          <w:rFonts w:asciiTheme="minorHAnsi" w:hAnsiTheme="minorHAnsi" w:cstheme="minorHAnsi"/>
          <w:sz w:val="24"/>
        </w:rPr>
        <w:t xml:space="preserve">llies and/or customers. </w:t>
      </w:r>
    </w:p>
    <w:p w14:paraId="5A698316" w14:textId="79D9CD4F" w:rsidR="0056447B" w:rsidRPr="003E74C0" w:rsidRDefault="0056447B" w:rsidP="0056447B">
      <w:pPr>
        <w:pStyle w:val="ParaText"/>
        <w:spacing w:line="240" w:lineRule="auto"/>
        <w:jc w:val="left"/>
        <w:rPr>
          <w:rFonts w:asciiTheme="minorHAnsi" w:hAnsiTheme="minorHAnsi" w:cstheme="minorHAnsi"/>
          <w:sz w:val="24"/>
        </w:rPr>
      </w:pPr>
      <w:r w:rsidRPr="003E74C0">
        <w:rPr>
          <w:rFonts w:asciiTheme="minorHAnsi" w:hAnsiTheme="minorHAnsi" w:cstheme="minorHAnsi"/>
          <w:sz w:val="24"/>
        </w:rPr>
        <w:t xml:space="preserve">The </w:t>
      </w:r>
      <w:r w:rsidR="00D54A2E" w:rsidRPr="003E74C0">
        <w:rPr>
          <w:rFonts w:asciiTheme="minorHAnsi" w:hAnsiTheme="minorHAnsi" w:cstheme="minorHAnsi"/>
          <w:sz w:val="24"/>
        </w:rPr>
        <w:t>Final Application</w:t>
      </w:r>
      <w:r w:rsidRPr="003E74C0">
        <w:rPr>
          <w:rFonts w:asciiTheme="minorHAnsi" w:hAnsiTheme="minorHAnsi" w:cstheme="minorHAnsi"/>
          <w:sz w:val="24"/>
        </w:rPr>
        <w:t xml:space="preserve"> </w:t>
      </w:r>
      <w:r w:rsidR="00846F1B" w:rsidRPr="003E74C0">
        <w:rPr>
          <w:rFonts w:asciiTheme="minorHAnsi" w:hAnsiTheme="minorHAnsi" w:cstheme="minorHAnsi"/>
          <w:sz w:val="24"/>
        </w:rPr>
        <w:t>along with all</w:t>
      </w:r>
      <w:r w:rsidRPr="003E74C0">
        <w:rPr>
          <w:rFonts w:asciiTheme="minorHAnsi" w:hAnsiTheme="minorHAnsi" w:cstheme="minorHAnsi"/>
          <w:sz w:val="24"/>
        </w:rPr>
        <w:t xml:space="preserve"> required documentation </w:t>
      </w:r>
      <w:r w:rsidR="00846F1B" w:rsidRPr="003E74C0">
        <w:rPr>
          <w:rFonts w:asciiTheme="minorHAnsi" w:hAnsiTheme="minorHAnsi" w:cstheme="minorHAnsi"/>
          <w:sz w:val="24"/>
        </w:rPr>
        <w:t xml:space="preserve">must </w:t>
      </w:r>
      <w:r w:rsidRPr="003E74C0">
        <w:rPr>
          <w:rFonts w:asciiTheme="minorHAnsi" w:hAnsiTheme="minorHAnsi" w:cstheme="minorHAnsi"/>
          <w:sz w:val="24"/>
        </w:rPr>
        <w:t>be received by DNV GL within 60 days of project completion</w:t>
      </w:r>
      <w:r w:rsidR="00562F76" w:rsidRPr="003E74C0">
        <w:rPr>
          <w:rFonts w:asciiTheme="minorHAnsi" w:hAnsiTheme="minorHAnsi" w:cstheme="minorHAnsi"/>
          <w:sz w:val="24"/>
        </w:rPr>
        <w:t xml:space="preserve">, the reservation end date or by </w:t>
      </w:r>
      <w:r w:rsidR="00296168">
        <w:rPr>
          <w:rFonts w:asciiTheme="minorHAnsi" w:hAnsiTheme="minorHAnsi" w:cstheme="minorHAnsi"/>
          <w:sz w:val="24"/>
        </w:rPr>
        <w:t>December 1</w:t>
      </w:r>
      <w:r w:rsidR="00846F1B" w:rsidRPr="003E74C0">
        <w:rPr>
          <w:rFonts w:asciiTheme="minorHAnsi" w:hAnsiTheme="minorHAnsi" w:cstheme="minorHAnsi"/>
          <w:sz w:val="24"/>
        </w:rPr>
        <w:t xml:space="preserve"> </w:t>
      </w:r>
      <w:r w:rsidR="00562F76" w:rsidRPr="003E74C0">
        <w:rPr>
          <w:rFonts w:asciiTheme="minorHAnsi" w:hAnsiTheme="minorHAnsi" w:cstheme="minorHAnsi"/>
          <w:sz w:val="24"/>
        </w:rPr>
        <w:t xml:space="preserve">of the same program </w:t>
      </w:r>
      <w:r w:rsidR="00562F76" w:rsidRPr="003E74C0">
        <w:rPr>
          <w:rFonts w:asciiTheme="minorHAnsi" w:hAnsiTheme="minorHAnsi" w:cstheme="minorHAnsi"/>
          <w:sz w:val="24"/>
        </w:rPr>
        <w:lastRenderedPageBreak/>
        <w:t>year, whichever is earlier</w:t>
      </w:r>
      <w:r w:rsidRPr="003E74C0">
        <w:rPr>
          <w:rFonts w:asciiTheme="minorHAnsi" w:hAnsiTheme="minorHAnsi" w:cstheme="minorHAnsi"/>
          <w:sz w:val="24"/>
        </w:rPr>
        <w:t xml:space="preserve">. All equipment must be installed </w:t>
      </w:r>
      <w:r w:rsidR="004D639A" w:rsidRPr="003E74C0">
        <w:rPr>
          <w:rFonts w:asciiTheme="minorHAnsi" w:hAnsiTheme="minorHAnsi" w:cstheme="minorHAnsi"/>
          <w:sz w:val="24"/>
        </w:rPr>
        <w:t xml:space="preserve">and operational </w:t>
      </w:r>
      <w:r w:rsidRPr="003E74C0">
        <w:rPr>
          <w:rFonts w:asciiTheme="minorHAnsi" w:hAnsiTheme="minorHAnsi" w:cstheme="minorHAnsi"/>
          <w:sz w:val="24"/>
        </w:rPr>
        <w:t xml:space="preserve">prior to submitting the </w:t>
      </w:r>
      <w:r w:rsidR="00D54A2E" w:rsidRPr="003E74C0">
        <w:rPr>
          <w:rFonts w:asciiTheme="minorHAnsi" w:hAnsiTheme="minorHAnsi" w:cstheme="minorHAnsi"/>
          <w:sz w:val="24"/>
        </w:rPr>
        <w:t>Final Application</w:t>
      </w:r>
      <w:r w:rsidRPr="003E74C0">
        <w:rPr>
          <w:rFonts w:asciiTheme="minorHAnsi" w:hAnsiTheme="minorHAnsi" w:cstheme="minorHAnsi"/>
          <w:sz w:val="24"/>
        </w:rPr>
        <w:t xml:space="preserve">. All projects must be completed and invoiced in the same program year that the </w:t>
      </w:r>
      <w:r w:rsidR="008E551E" w:rsidRPr="003E74C0">
        <w:rPr>
          <w:rFonts w:asciiTheme="minorHAnsi" w:hAnsiTheme="minorHAnsi" w:cstheme="minorHAnsi"/>
          <w:sz w:val="24"/>
        </w:rPr>
        <w:t>F</w:t>
      </w:r>
      <w:r w:rsidRPr="003E74C0">
        <w:rPr>
          <w:rFonts w:asciiTheme="minorHAnsi" w:hAnsiTheme="minorHAnsi" w:cstheme="minorHAnsi"/>
          <w:sz w:val="24"/>
        </w:rPr>
        <w:t xml:space="preserve">inal </w:t>
      </w:r>
      <w:r w:rsidR="008E551E" w:rsidRPr="003E74C0">
        <w:rPr>
          <w:rFonts w:asciiTheme="minorHAnsi" w:hAnsiTheme="minorHAnsi" w:cstheme="minorHAnsi"/>
          <w:sz w:val="24"/>
        </w:rPr>
        <w:t>A</w:t>
      </w:r>
      <w:r w:rsidRPr="003E74C0">
        <w:rPr>
          <w:rFonts w:asciiTheme="minorHAnsi" w:hAnsiTheme="minorHAnsi" w:cstheme="minorHAnsi"/>
          <w:sz w:val="24"/>
        </w:rPr>
        <w:t>pplication is submitted.</w:t>
      </w:r>
    </w:p>
    <w:p w14:paraId="1CD6DA6E" w14:textId="77777777" w:rsidR="0056447B" w:rsidRPr="003E74C0" w:rsidRDefault="0056447B" w:rsidP="0056447B">
      <w:pPr>
        <w:pStyle w:val="ParaText"/>
        <w:spacing w:line="240" w:lineRule="auto"/>
        <w:jc w:val="left"/>
        <w:rPr>
          <w:rFonts w:asciiTheme="minorHAnsi" w:hAnsiTheme="minorHAnsi" w:cstheme="minorHAnsi"/>
          <w:sz w:val="24"/>
        </w:rPr>
      </w:pPr>
      <w:r w:rsidRPr="003E74C0">
        <w:rPr>
          <w:rFonts w:asciiTheme="minorHAnsi" w:hAnsiTheme="minorHAnsi" w:cstheme="minorHAnsi"/>
          <w:sz w:val="24"/>
        </w:rPr>
        <w:t xml:space="preserve">The </w:t>
      </w:r>
      <w:r w:rsidR="00D53615" w:rsidRPr="003E74C0">
        <w:rPr>
          <w:rFonts w:asciiTheme="minorHAnsi" w:hAnsiTheme="minorHAnsi" w:cstheme="minorHAnsi"/>
          <w:sz w:val="24"/>
        </w:rPr>
        <w:t>UES</w:t>
      </w:r>
      <w:r w:rsidRPr="003E74C0">
        <w:rPr>
          <w:rFonts w:asciiTheme="minorHAnsi" w:hAnsiTheme="minorHAnsi" w:cstheme="minorHAnsi"/>
          <w:sz w:val="24"/>
        </w:rPr>
        <w:t xml:space="preserve"> Commercial Energy Solutions program team reserves the right to inspect all projects to verify compliance with the program rules and verify the accuracy of project documentation. This may include pre-installation and/or post-installation inspections, metering, data collection, interviews and utility bill data analyses. The customer must allow access to records and installation sites for a period of five years after receipt of the incentive payment. </w:t>
      </w:r>
    </w:p>
    <w:p w14:paraId="798675F7" w14:textId="77777777" w:rsidR="0056447B" w:rsidRPr="003E74C0" w:rsidRDefault="0056447B" w:rsidP="0056447B">
      <w:pPr>
        <w:pStyle w:val="ParaText"/>
        <w:spacing w:line="240" w:lineRule="auto"/>
        <w:jc w:val="left"/>
        <w:rPr>
          <w:rFonts w:asciiTheme="minorHAnsi" w:hAnsiTheme="minorHAnsi" w:cstheme="minorHAnsi"/>
          <w:sz w:val="24"/>
        </w:rPr>
      </w:pPr>
      <w:r w:rsidRPr="003E74C0">
        <w:rPr>
          <w:rFonts w:asciiTheme="minorHAnsi" w:hAnsiTheme="minorHAnsi" w:cstheme="minorHAnsi"/>
          <w:sz w:val="24"/>
        </w:rPr>
        <w:t>Any payment of incentive funds is contingent upon funding availability and continued approval of this program by the Arizona Corporation Commission.</w:t>
      </w:r>
    </w:p>
    <w:p w14:paraId="366873ED"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11" w:name="_Toc511029296"/>
      <w:bookmarkStart w:id="12" w:name="_Toc511996614"/>
      <w:r w:rsidRPr="00CA2715">
        <w:rPr>
          <w:rFonts w:asciiTheme="minorHAnsi" w:hAnsiTheme="minorHAnsi" w:cstheme="minorHAnsi"/>
        </w:rPr>
        <w:t xml:space="preserve">Rebate </w:t>
      </w:r>
      <w:r w:rsidR="00F335D7" w:rsidRPr="00CA2715">
        <w:rPr>
          <w:rFonts w:asciiTheme="minorHAnsi" w:hAnsiTheme="minorHAnsi" w:cstheme="minorHAnsi"/>
        </w:rPr>
        <w:t>Caps</w:t>
      </w:r>
      <w:bookmarkEnd w:id="11"/>
      <w:bookmarkEnd w:id="12"/>
    </w:p>
    <w:p w14:paraId="603413DA" w14:textId="77777777" w:rsidR="0056447B" w:rsidRPr="003E74C0" w:rsidRDefault="0002768D" w:rsidP="0056447B">
      <w:pPr>
        <w:jc w:val="left"/>
        <w:rPr>
          <w:rFonts w:asciiTheme="minorHAnsi" w:hAnsiTheme="minorHAnsi" w:cstheme="minorHAnsi"/>
          <w:sz w:val="24"/>
          <w:szCs w:val="22"/>
        </w:rPr>
      </w:pPr>
      <w:r w:rsidRPr="003E74C0">
        <w:rPr>
          <w:rFonts w:asciiTheme="minorHAnsi" w:hAnsiTheme="minorHAnsi" w:cstheme="minorHAnsi"/>
          <w:sz w:val="24"/>
          <w:szCs w:val="22"/>
        </w:rPr>
        <w:t>R</w:t>
      </w:r>
      <w:r w:rsidR="0056447B" w:rsidRPr="003E74C0">
        <w:rPr>
          <w:rFonts w:asciiTheme="minorHAnsi" w:hAnsiTheme="minorHAnsi" w:cstheme="minorHAnsi"/>
          <w:sz w:val="24"/>
          <w:szCs w:val="22"/>
        </w:rPr>
        <w:t xml:space="preserve">ebate </w:t>
      </w:r>
      <w:r w:rsidR="00F335D7" w:rsidRPr="003E74C0">
        <w:rPr>
          <w:rFonts w:asciiTheme="minorHAnsi" w:hAnsiTheme="minorHAnsi" w:cstheme="minorHAnsi"/>
          <w:sz w:val="24"/>
          <w:szCs w:val="22"/>
        </w:rPr>
        <w:t>caps</w:t>
      </w:r>
      <w:r w:rsidR="0079618E" w:rsidRPr="003E74C0">
        <w:rPr>
          <w:rFonts w:asciiTheme="minorHAnsi" w:hAnsiTheme="minorHAnsi" w:cstheme="minorHAnsi"/>
          <w:sz w:val="24"/>
          <w:szCs w:val="22"/>
        </w:rPr>
        <w:t xml:space="preserve"> </w:t>
      </w:r>
      <w:r w:rsidR="0056447B" w:rsidRPr="003E74C0">
        <w:rPr>
          <w:rFonts w:asciiTheme="minorHAnsi" w:hAnsiTheme="minorHAnsi" w:cstheme="minorHAnsi"/>
          <w:sz w:val="24"/>
          <w:szCs w:val="22"/>
        </w:rPr>
        <w:t xml:space="preserve">are </w:t>
      </w:r>
      <w:r w:rsidRPr="003E74C0">
        <w:rPr>
          <w:rFonts w:asciiTheme="minorHAnsi" w:hAnsiTheme="minorHAnsi" w:cstheme="minorHAnsi"/>
          <w:sz w:val="24"/>
          <w:szCs w:val="22"/>
        </w:rPr>
        <w:t>the</w:t>
      </w:r>
      <w:r w:rsidR="0056447B" w:rsidRPr="003E74C0">
        <w:rPr>
          <w:rFonts w:asciiTheme="minorHAnsi" w:hAnsiTheme="minorHAnsi" w:cstheme="minorHAnsi"/>
          <w:sz w:val="24"/>
          <w:szCs w:val="22"/>
        </w:rPr>
        <w:t xml:space="preserve"> maximum rebate amount that the program will pay for a given measure as well as </w:t>
      </w:r>
      <w:r w:rsidRPr="003E74C0">
        <w:rPr>
          <w:rFonts w:asciiTheme="minorHAnsi" w:hAnsiTheme="minorHAnsi" w:cstheme="minorHAnsi"/>
          <w:sz w:val="24"/>
          <w:szCs w:val="22"/>
        </w:rPr>
        <w:t>the</w:t>
      </w:r>
      <w:r w:rsidR="0056447B" w:rsidRPr="003E74C0">
        <w:rPr>
          <w:rFonts w:asciiTheme="minorHAnsi" w:hAnsiTheme="minorHAnsi" w:cstheme="minorHAnsi"/>
          <w:sz w:val="24"/>
          <w:szCs w:val="22"/>
        </w:rPr>
        <w:t xml:space="preserve"> maximum amount paid to any given customer. </w:t>
      </w:r>
    </w:p>
    <w:p w14:paraId="48EA7A58" w14:textId="77777777" w:rsidR="00A0192C" w:rsidRPr="003E74C0" w:rsidRDefault="00A0192C" w:rsidP="0056447B">
      <w:pPr>
        <w:jc w:val="left"/>
        <w:rPr>
          <w:rFonts w:asciiTheme="minorHAnsi" w:hAnsiTheme="minorHAnsi" w:cstheme="minorHAnsi"/>
          <w:sz w:val="24"/>
          <w:szCs w:val="22"/>
        </w:rPr>
      </w:pPr>
    </w:p>
    <w:p w14:paraId="66646E3D" w14:textId="77777777" w:rsidR="00D53615" w:rsidRPr="00D53615" w:rsidRDefault="00D53615" w:rsidP="00D53615">
      <w:pPr>
        <w:jc w:val="left"/>
        <w:rPr>
          <w:rFonts w:asciiTheme="minorHAnsi" w:hAnsiTheme="minorHAnsi" w:cstheme="minorHAnsi"/>
          <w:vertAlign w:val="superscript"/>
        </w:rPr>
      </w:pPr>
      <w:r w:rsidRPr="003E74C0">
        <w:rPr>
          <w:rFonts w:asciiTheme="minorHAnsi" w:hAnsiTheme="minorHAnsi" w:cstheme="minorHAnsi"/>
          <w:sz w:val="24"/>
        </w:rPr>
        <w:t>For the Commercial Energy Solutions program, the customer is defined as an individual or entity paying gas bills for one or more locations or accounts. For very large multi-function customers such as governments or universities, a customer is also defined as the decision maker at an organization or firm that receives gas service from UES on an approved retail rate schedule. Frequently, this is determined by tax identification number, although other factors may also be considered. For example, an organization that has responsibility for the capital budget for multiple facilities and has one tax identification number, may receive incentives for several different projects at various facilities; that customer may reach the annual customer cap and no additional incentives can be paid in that program year. However, another parent organization may have subsidiaries (or departments) in which each subsidiary is responsible for its own capital budget (i.e., separate decision makers). In this case, each of these subsidiaries may be considered as a separate customer and thus, each would have its own cap</w:t>
      </w:r>
      <w:r>
        <w:rPr>
          <w:rFonts w:asciiTheme="minorHAnsi" w:hAnsiTheme="minorHAnsi" w:cstheme="minorHAnsi"/>
        </w:rPr>
        <w:t>.</w:t>
      </w:r>
      <w:r>
        <w:rPr>
          <w:rFonts w:asciiTheme="minorHAnsi" w:hAnsiTheme="minorHAnsi" w:cstheme="minorHAnsi"/>
          <w:vertAlign w:val="superscript"/>
        </w:rPr>
        <w:t>1</w:t>
      </w:r>
    </w:p>
    <w:p w14:paraId="35E6060F" w14:textId="77777777" w:rsidR="00D53615" w:rsidRPr="00D53615" w:rsidRDefault="00D53615" w:rsidP="00D53615">
      <w:pPr>
        <w:jc w:val="left"/>
        <w:rPr>
          <w:rFonts w:asciiTheme="minorHAnsi" w:hAnsiTheme="minorHAnsi" w:cstheme="minorHAnsi"/>
        </w:rPr>
      </w:pPr>
    </w:p>
    <w:p w14:paraId="54833681" w14:textId="77777777" w:rsidR="00D53615" w:rsidRPr="003E74C0" w:rsidRDefault="00D53615" w:rsidP="00D53615">
      <w:pPr>
        <w:jc w:val="left"/>
        <w:rPr>
          <w:rFonts w:asciiTheme="minorHAnsi" w:hAnsiTheme="minorHAnsi" w:cstheme="minorHAnsi"/>
          <w:sz w:val="24"/>
        </w:rPr>
      </w:pPr>
      <w:r w:rsidRPr="003E74C0">
        <w:rPr>
          <w:rFonts w:asciiTheme="minorHAnsi" w:hAnsiTheme="minorHAnsi" w:cstheme="minorHAnsi"/>
          <w:sz w:val="24"/>
        </w:rPr>
        <w:t xml:space="preserve">All incentives paid through the Commercial Energy Solutions program will be applied toward the customer incentive cap. The program team can assist customers in determining eligibility and risk of exceeding their annual customer cap. </w:t>
      </w:r>
    </w:p>
    <w:p w14:paraId="48CED086" w14:textId="77777777" w:rsidR="00D53615" w:rsidRPr="003E74C0" w:rsidRDefault="00D53615" w:rsidP="00D53615">
      <w:pPr>
        <w:jc w:val="left"/>
        <w:rPr>
          <w:rFonts w:asciiTheme="minorHAnsi" w:hAnsiTheme="minorHAnsi" w:cstheme="minorHAnsi"/>
          <w:sz w:val="24"/>
        </w:rPr>
      </w:pPr>
    </w:p>
    <w:p w14:paraId="41228078" w14:textId="77777777" w:rsidR="00D53615" w:rsidRPr="003E74C0" w:rsidRDefault="00D53615" w:rsidP="00D53615">
      <w:pPr>
        <w:jc w:val="left"/>
        <w:rPr>
          <w:rFonts w:asciiTheme="minorHAnsi" w:hAnsiTheme="minorHAnsi" w:cstheme="minorHAnsi"/>
          <w:sz w:val="24"/>
        </w:rPr>
      </w:pPr>
      <w:r w:rsidRPr="003E74C0">
        <w:rPr>
          <w:rFonts w:asciiTheme="minorHAnsi" w:hAnsiTheme="minorHAnsi" w:cstheme="minorHAnsi"/>
          <w:sz w:val="24"/>
        </w:rPr>
        <w:t xml:space="preserve">UES will, at its discretion, determine which calendar year to attribute an application's incentives. Incentive funds will be attributed to a calendar year based upon availability of incentive funds and project completion date or when the final application is approved for payment.  </w:t>
      </w:r>
    </w:p>
    <w:p w14:paraId="63A742A0" w14:textId="77777777" w:rsidR="00D53615" w:rsidRPr="003E74C0" w:rsidRDefault="00D53615" w:rsidP="00D53615">
      <w:pPr>
        <w:jc w:val="left"/>
        <w:rPr>
          <w:rFonts w:asciiTheme="minorHAnsi" w:hAnsiTheme="minorHAnsi" w:cstheme="minorHAnsi"/>
          <w:sz w:val="24"/>
        </w:rPr>
      </w:pPr>
    </w:p>
    <w:p w14:paraId="22B3D575" w14:textId="0E068616" w:rsidR="0056447B" w:rsidRPr="003E74C0" w:rsidRDefault="00D53615" w:rsidP="00D53615">
      <w:pPr>
        <w:jc w:val="left"/>
        <w:rPr>
          <w:rFonts w:asciiTheme="minorHAnsi" w:hAnsiTheme="minorHAnsi" w:cstheme="minorHAnsi"/>
          <w:sz w:val="24"/>
        </w:rPr>
      </w:pPr>
      <w:r w:rsidRPr="003E74C0">
        <w:rPr>
          <w:rFonts w:asciiTheme="minorHAnsi" w:hAnsiTheme="minorHAnsi" w:cstheme="minorHAnsi"/>
          <w:sz w:val="24"/>
        </w:rPr>
        <w:t xml:space="preserve">Provided funds remain available, final applications, with all necessary documentation, must be received by the Commercial Energy Solutions program by </w:t>
      </w:r>
      <w:r w:rsidR="00296168">
        <w:rPr>
          <w:rFonts w:asciiTheme="minorHAnsi" w:hAnsiTheme="minorHAnsi" w:cstheme="minorHAnsi"/>
          <w:sz w:val="24"/>
        </w:rPr>
        <w:t>December 1</w:t>
      </w:r>
      <w:r w:rsidRPr="003E74C0">
        <w:rPr>
          <w:rFonts w:asciiTheme="minorHAnsi" w:hAnsiTheme="minorHAnsi" w:cstheme="minorHAnsi"/>
          <w:sz w:val="24"/>
        </w:rPr>
        <w:t xml:space="preserve"> to guarantee funds will be attributed to that calendar year. Projects not completed within the same calendar year in which the application is received will be cancelled.  </w:t>
      </w:r>
      <w:r w:rsidR="0056447B" w:rsidRPr="003E74C0">
        <w:rPr>
          <w:rFonts w:asciiTheme="minorHAnsi" w:hAnsiTheme="minorHAnsi" w:cstheme="minorHAnsi"/>
          <w:sz w:val="24"/>
        </w:rPr>
        <w:t xml:space="preserve">  </w:t>
      </w:r>
    </w:p>
    <w:p w14:paraId="6810C178" w14:textId="77777777" w:rsidR="00D53615" w:rsidRDefault="00D53615" w:rsidP="00D53615">
      <w:pPr>
        <w:pStyle w:val="Heading2"/>
        <w:numPr>
          <w:ilvl w:val="1"/>
          <w:numId w:val="7"/>
        </w:numPr>
        <w:spacing w:before="120" w:after="120"/>
        <w:ind w:left="504"/>
        <w:rPr>
          <w:rFonts w:asciiTheme="minorHAnsi" w:hAnsiTheme="minorHAnsi" w:cstheme="minorHAnsi"/>
          <w:sz w:val="34"/>
          <w:szCs w:val="34"/>
        </w:rPr>
      </w:pPr>
      <w:bookmarkStart w:id="13" w:name="_Toc511996615"/>
      <w:r>
        <w:rPr>
          <w:rFonts w:asciiTheme="minorHAnsi" w:hAnsiTheme="minorHAnsi" w:cstheme="minorHAnsi"/>
          <w:sz w:val="34"/>
          <w:szCs w:val="34"/>
        </w:rPr>
        <w:lastRenderedPageBreak/>
        <w:t>Customer Cap</w:t>
      </w:r>
      <w:bookmarkStart w:id="14" w:name="_Toc511029298"/>
      <w:bookmarkEnd w:id="13"/>
    </w:p>
    <w:p w14:paraId="65DAFBDF" w14:textId="77777777" w:rsidR="00D53615" w:rsidRPr="003E74C0" w:rsidRDefault="00D53615" w:rsidP="00D53615">
      <w:pPr>
        <w:pStyle w:val="ParaText"/>
        <w:spacing w:after="0" w:line="240" w:lineRule="auto"/>
        <w:rPr>
          <w:rFonts w:ascii="Calibri" w:hAnsi="Calibri" w:cs="Calibri"/>
          <w:sz w:val="24"/>
        </w:rPr>
      </w:pPr>
      <w:r w:rsidRPr="003E74C0">
        <w:rPr>
          <w:rFonts w:ascii="Calibri" w:hAnsi="Calibri" w:cs="Calibri"/>
          <w:sz w:val="24"/>
        </w:rPr>
        <w:t xml:space="preserve">The program customer incentive cap is $8,000 per calendar year per customer. K-12 schools may receive up to $25,000 per calendar year, per school district. </w:t>
      </w:r>
    </w:p>
    <w:p w14:paraId="1CFD8DB4" w14:textId="77777777" w:rsidR="0056447B" w:rsidRPr="00CA2715" w:rsidRDefault="00F335D7" w:rsidP="009639FB">
      <w:pPr>
        <w:pStyle w:val="Heading2"/>
        <w:numPr>
          <w:ilvl w:val="1"/>
          <w:numId w:val="7"/>
        </w:numPr>
        <w:spacing w:before="120" w:after="120"/>
        <w:ind w:left="504"/>
        <w:rPr>
          <w:rFonts w:asciiTheme="minorHAnsi" w:hAnsiTheme="minorHAnsi" w:cstheme="minorHAnsi"/>
          <w:sz w:val="34"/>
          <w:szCs w:val="34"/>
        </w:rPr>
      </w:pPr>
      <w:bookmarkStart w:id="15" w:name="_Toc511996616"/>
      <w:r w:rsidRPr="00CA2715">
        <w:rPr>
          <w:rFonts w:asciiTheme="minorHAnsi" w:hAnsiTheme="minorHAnsi" w:cstheme="minorHAnsi"/>
          <w:sz w:val="34"/>
          <w:szCs w:val="34"/>
        </w:rPr>
        <w:t>Measure Cap</w:t>
      </w:r>
      <w:bookmarkEnd w:id="14"/>
      <w:bookmarkEnd w:id="15"/>
    </w:p>
    <w:p w14:paraId="4631F740" w14:textId="77777777" w:rsidR="00D53615" w:rsidRPr="003E74C0" w:rsidRDefault="00D53615" w:rsidP="00D53615">
      <w:pPr>
        <w:jc w:val="left"/>
        <w:rPr>
          <w:rFonts w:asciiTheme="minorHAnsi" w:hAnsiTheme="minorHAnsi" w:cstheme="minorHAnsi"/>
          <w:sz w:val="24"/>
          <w:szCs w:val="22"/>
        </w:rPr>
      </w:pPr>
      <w:r w:rsidRPr="003E74C0">
        <w:rPr>
          <w:rFonts w:asciiTheme="minorHAnsi" w:hAnsiTheme="minorHAnsi" w:cstheme="minorHAnsi"/>
          <w:sz w:val="24"/>
          <w:szCs w:val="22"/>
        </w:rPr>
        <w:t>In addition to the customer cap, there is a cap on each measure. The measure cap is 75% of the incremental measure cost. Incremental measure cost is the difference between the cost of installing a high efficiency piece of equipment and the lower cost of installing a standard efficiency piece of equipment. The Commercial Energy Solutions team will use manufacturers’ data provided by the customer and typical industry base cost to determine the incremental measure cost. In some cases</w:t>
      </w:r>
      <w:r w:rsidR="00DD26CD" w:rsidRPr="003E74C0">
        <w:rPr>
          <w:rFonts w:asciiTheme="minorHAnsi" w:hAnsiTheme="minorHAnsi" w:cstheme="minorHAnsi"/>
          <w:sz w:val="24"/>
          <w:szCs w:val="22"/>
        </w:rPr>
        <w:t>,</w:t>
      </w:r>
      <w:r w:rsidRPr="003E74C0">
        <w:rPr>
          <w:rFonts w:asciiTheme="minorHAnsi" w:hAnsiTheme="minorHAnsi" w:cstheme="minorHAnsi"/>
          <w:sz w:val="24"/>
          <w:szCs w:val="22"/>
        </w:rPr>
        <w:t xml:space="preserve"> the full measure cost will be used, while in other cases only a portion of the full measure cost is appropriate. Internal labor costs incurred by the utility customer will not be considered as measure costs for each measure, but contractor labor charges may be included in measure costs.</w:t>
      </w:r>
    </w:p>
    <w:p w14:paraId="05E72952" w14:textId="77777777" w:rsidR="00D53615" w:rsidRPr="003E74C0" w:rsidRDefault="00D53615" w:rsidP="00D53615">
      <w:pPr>
        <w:jc w:val="left"/>
        <w:rPr>
          <w:rFonts w:asciiTheme="minorHAnsi" w:hAnsiTheme="minorHAnsi" w:cstheme="minorHAnsi"/>
          <w:sz w:val="24"/>
          <w:szCs w:val="22"/>
        </w:rPr>
      </w:pPr>
    </w:p>
    <w:p w14:paraId="1028E4D1" w14:textId="77777777" w:rsidR="00D53615" w:rsidRPr="003E74C0" w:rsidRDefault="00D53615" w:rsidP="00D53615">
      <w:pPr>
        <w:jc w:val="left"/>
        <w:rPr>
          <w:rFonts w:asciiTheme="minorHAnsi" w:hAnsiTheme="minorHAnsi" w:cstheme="minorHAnsi"/>
          <w:sz w:val="24"/>
          <w:szCs w:val="22"/>
        </w:rPr>
      </w:pPr>
      <w:r w:rsidRPr="003E74C0">
        <w:rPr>
          <w:rFonts w:asciiTheme="minorHAnsi" w:hAnsiTheme="minorHAnsi" w:cstheme="minorHAnsi"/>
          <w:sz w:val="24"/>
          <w:szCs w:val="22"/>
        </w:rPr>
        <w:t xml:space="preserve">If the customer intends to apply for state or federal tax credits, the estimated amount of those credits must be disclosed on the application, or written on the equipment invoice. The incremental cost of the measure will be reduced by these anticipated credits prior to applying the 75% cap. </w:t>
      </w:r>
    </w:p>
    <w:p w14:paraId="0BDED7FB" w14:textId="77777777" w:rsidR="00D53615" w:rsidRPr="003E74C0" w:rsidRDefault="00D53615" w:rsidP="00D53615">
      <w:pPr>
        <w:jc w:val="left"/>
        <w:rPr>
          <w:rFonts w:asciiTheme="minorHAnsi" w:hAnsiTheme="minorHAnsi" w:cstheme="minorHAnsi"/>
          <w:sz w:val="24"/>
          <w:szCs w:val="22"/>
        </w:rPr>
      </w:pPr>
    </w:p>
    <w:p w14:paraId="7F10788B" w14:textId="77777777" w:rsidR="0056447B" w:rsidRPr="00D53615" w:rsidRDefault="00D53615" w:rsidP="00D53615">
      <w:pPr>
        <w:jc w:val="left"/>
        <w:rPr>
          <w:rFonts w:asciiTheme="minorHAnsi" w:hAnsiTheme="minorHAnsi" w:cstheme="minorHAnsi"/>
          <w:sz w:val="18"/>
          <w:szCs w:val="18"/>
        </w:rPr>
      </w:pPr>
      <w:r w:rsidRPr="00D53615">
        <w:rPr>
          <w:rFonts w:asciiTheme="minorHAnsi" w:hAnsiTheme="minorHAnsi" w:cstheme="minorHAnsi"/>
          <w:sz w:val="18"/>
          <w:szCs w:val="18"/>
          <w:vertAlign w:val="superscript"/>
        </w:rPr>
        <w:t xml:space="preserve">1 </w:t>
      </w:r>
      <w:r w:rsidRPr="00D53615">
        <w:rPr>
          <w:rFonts w:asciiTheme="minorHAnsi" w:hAnsiTheme="minorHAnsi" w:cstheme="minorHAnsi"/>
          <w:sz w:val="18"/>
          <w:szCs w:val="18"/>
        </w:rPr>
        <w:t>Government facilities are frequently an example for this exception as they often have a single tax identification number for numerous departments. In this case, the agency or organization responsible for the capital projects budget is defined as the customer for the purpose of setting customer caps.</w:t>
      </w:r>
    </w:p>
    <w:p w14:paraId="35ED6DD3" w14:textId="77777777" w:rsidR="0056447B" w:rsidRPr="00CA2715" w:rsidRDefault="0056447B" w:rsidP="0056447B">
      <w:pPr>
        <w:jc w:val="left"/>
        <w:rPr>
          <w:rFonts w:asciiTheme="minorHAnsi" w:hAnsiTheme="minorHAnsi" w:cstheme="minorHAnsi"/>
        </w:rPr>
      </w:pPr>
    </w:p>
    <w:p w14:paraId="709AFEE8"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16" w:name="_Toc511029299"/>
      <w:bookmarkStart w:id="17" w:name="_Toc511996617"/>
      <w:r w:rsidRPr="00CA2715">
        <w:rPr>
          <w:rFonts w:asciiTheme="minorHAnsi" w:hAnsiTheme="minorHAnsi" w:cstheme="minorHAnsi"/>
        </w:rPr>
        <w:t>Types of Rebates</w:t>
      </w:r>
      <w:bookmarkEnd w:id="16"/>
      <w:bookmarkEnd w:id="17"/>
      <w:r w:rsidRPr="00CA2715">
        <w:rPr>
          <w:rFonts w:asciiTheme="minorHAnsi" w:hAnsiTheme="minorHAnsi" w:cstheme="minorHAnsi"/>
        </w:rPr>
        <w:t xml:space="preserve"> </w:t>
      </w:r>
    </w:p>
    <w:p w14:paraId="05320086" w14:textId="77777777" w:rsidR="0056447B" w:rsidRPr="003E74C0" w:rsidRDefault="00AF761E" w:rsidP="0056447B">
      <w:pPr>
        <w:jc w:val="left"/>
        <w:rPr>
          <w:rFonts w:asciiTheme="minorHAnsi" w:hAnsiTheme="minorHAnsi" w:cstheme="minorHAnsi"/>
          <w:sz w:val="24"/>
        </w:rPr>
      </w:pPr>
      <w:r w:rsidRPr="003E74C0">
        <w:rPr>
          <w:rFonts w:asciiTheme="minorHAnsi" w:hAnsiTheme="minorHAnsi" w:cstheme="minorHAnsi"/>
          <w:color w:val="000000"/>
          <w:sz w:val="24"/>
        </w:rPr>
        <w:t xml:space="preserve">The UES Commercial Energy Solutions gas program offers Prescriptive Incentives for improvements in the following categories: furnaces, packaged air conditioners with high efficiency furnaces, space heating, process boilers, water heaters and high efficiency griddles. </w:t>
      </w:r>
      <w:r w:rsidR="0056447B" w:rsidRPr="003E74C0">
        <w:rPr>
          <w:rFonts w:asciiTheme="minorHAnsi" w:hAnsiTheme="minorHAnsi" w:cstheme="minorHAnsi"/>
          <w:sz w:val="24"/>
        </w:rPr>
        <w:t xml:space="preserve">This section provides an overview of the type of measures </w:t>
      </w:r>
      <w:r w:rsidR="00F20360" w:rsidRPr="003E74C0">
        <w:rPr>
          <w:rFonts w:asciiTheme="minorHAnsi" w:hAnsiTheme="minorHAnsi" w:cstheme="minorHAnsi"/>
          <w:sz w:val="24"/>
        </w:rPr>
        <w:t>and</w:t>
      </w:r>
      <w:r w:rsidR="0056447B" w:rsidRPr="003E74C0">
        <w:rPr>
          <w:rFonts w:asciiTheme="minorHAnsi" w:hAnsiTheme="minorHAnsi" w:cstheme="minorHAnsi"/>
          <w:sz w:val="24"/>
        </w:rPr>
        <w:t xml:space="preserve"> rebates available. </w:t>
      </w:r>
      <w:r w:rsidR="00F20360" w:rsidRPr="003E74C0">
        <w:rPr>
          <w:rFonts w:asciiTheme="minorHAnsi" w:hAnsiTheme="minorHAnsi" w:cstheme="minorHAnsi"/>
          <w:sz w:val="24"/>
        </w:rPr>
        <w:t>A</w:t>
      </w:r>
      <w:r w:rsidR="0056447B" w:rsidRPr="003E74C0">
        <w:rPr>
          <w:rFonts w:asciiTheme="minorHAnsi" w:hAnsiTheme="minorHAnsi" w:cstheme="minorHAnsi"/>
          <w:sz w:val="24"/>
        </w:rPr>
        <w:t xml:space="preserve">ctual measure details including rebate levels and technical specifications are included in full detail on the program applications found at </w:t>
      </w:r>
      <w:hyperlink r:id="rId10" w:history="1">
        <w:r w:rsidR="00D53615" w:rsidRPr="003E74C0">
          <w:rPr>
            <w:rStyle w:val="Hyperlink"/>
            <w:rFonts w:asciiTheme="minorHAnsi" w:hAnsiTheme="minorHAnsi" w:cstheme="minorHAnsi"/>
            <w:sz w:val="24"/>
          </w:rPr>
          <w:t>uescommercialenergysolutions.com</w:t>
        </w:r>
      </w:hyperlink>
      <w:r w:rsidR="0056447B" w:rsidRPr="003E74C0">
        <w:rPr>
          <w:rFonts w:asciiTheme="minorHAnsi" w:hAnsiTheme="minorHAnsi" w:cstheme="minorHAnsi"/>
          <w:sz w:val="24"/>
        </w:rPr>
        <w:t xml:space="preserve">.  </w:t>
      </w:r>
    </w:p>
    <w:p w14:paraId="6A4ABA11" w14:textId="77777777" w:rsidR="00AF761E" w:rsidRPr="003E74C0" w:rsidRDefault="00AF761E" w:rsidP="0056447B">
      <w:pPr>
        <w:jc w:val="left"/>
        <w:rPr>
          <w:rFonts w:asciiTheme="minorHAnsi" w:hAnsiTheme="minorHAnsi" w:cstheme="minorHAnsi"/>
          <w:sz w:val="24"/>
        </w:rPr>
      </w:pPr>
    </w:p>
    <w:p w14:paraId="4FD11084"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color w:val="000000"/>
          <w:sz w:val="24"/>
          <w:szCs w:val="22"/>
          <w:lang w:eastAsia="zh-CN"/>
        </w:rPr>
      </w:pPr>
      <w:r w:rsidRPr="003E74C0">
        <w:rPr>
          <w:rFonts w:asciiTheme="minorHAnsi" w:eastAsia="SimSun" w:hAnsiTheme="minorHAnsi" w:cstheme="minorHAnsi"/>
          <w:color w:val="000000"/>
          <w:sz w:val="24"/>
          <w:szCs w:val="22"/>
          <w:lang w:eastAsia="zh-CN"/>
        </w:rPr>
        <w:t xml:space="preserve">The following section summarizes the eligible measures. Applicants must review the program application forms for detailed incentive and technical specifications. Equipment replacement projects must demonstrate that the old equipment has been eliminated from the resale market. </w:t>
      </w:r>
    </w:p>
    <w:p w14:paraId="227378D6" w14:textId="77777777" w:rsidR="00AF761E" w:rsidRDefault="00600DBD" w:rsidP="00AF761E">
      <w:pPr>
        <w:pStyle w:val="Heading2"/>
        <w:numPr>
          <w:ilvl w:val="1"/>
          <w:numId w:val="9"/>
        </w:numPr>
        <w:spacing w:before="120" w:after="120"/>
        <w:ind w:left="504"/>
        <w:jc w:val="left"/>
        <w:rPr>
          <w:rFonts w:asciiTheme="minorHAnsi" w:hAnsiTheme="minorHAnsi" w:cstheme="minorHAnsi"/>
          <w:sz w:val="34"/>
          <w:szCs w:val="34"/>
          <w:lang w:val="fr-FR"/>
        </w:rPr>
      </w:pPr>
      <w:r w:rsidRPr="00CA2715">
        <w:rPr>
          <w:rFonts w:asciiTheme="minorHAnsi" w:hAnsiTheme="minorHAnsi" w:cstheme="minorHAnsi"/>
          <w:sz w:val="34"/>
          <w:szCs w:val="34"/>
          <w:lang w:val="fr-FR"/>
        </w:rPr>
        <w:t xml:space="preserve">        </w:t>
      </w:r>
      <w:bookmarkStart w:id="18" w:name="_Toc511029300"/>
      <w:bookmarkStart w:id="19" w:name="_Toc511996618"/>
      <w:r w:rsidR="00ED3C9E">
        <w:rPr>
          <w:rFonts w:asciiTheme="minorHAnsi" w:hAnsiTheme="minorHAnsi" w:cstheme="minorHAnsi"/>
          <w:sz w:val="34"/>
          <w:szCs w:val="34"/>
          <w:lang w:val="fr-FR"/>
        </w:rPr>
        <w:t xml:space="preserve">UES Gas </w:t>
      </w:r>
      <w:r w:rsidR="0056447B" w:rsidRPr="00CA2715">
        <w:rPr>
          <w:rFonts w:asciiTheme="minorHAnsi" w:hAnsiTheme="minorHAnsi" w:cstheme="minorHAnsi"/>
          <w:sz w:val="34"/>
          <w:szCs w:val="34"/>
          <w:lang w:val="fr-FR"/>
        </w:rPr>
        <w:t>Prescriptive Retrofit Rebates</w:t>
      </w:r>
      <w:bookmarkEnd w:id="18"/>
      <w:bookmarkEnd w:id="19"/>
      <w:r w:rsidR="0056447B" w:rsidRPr="00CA2715">
        <w:rPr>
          <w:rFonts w:asciiTheme="minorHAnsi" w:hAnsiTheme="minorHAnsi" w:cstheme="minorHAnsi"/>
          <w:sz w:val="34"/>
          <w:szCs w:val="34"/>
          <w:lang w:val="fr-FR"/>
        </w:rPr>
        <w:t xml:space="preserve"> </w:t>
      </w:r>
    </w:p>
    <w:p w14:paraId="42EF7E43"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color w:val="000000"/>
          <w:sz w:val="24"/>
          <w:szCs w:val="22"/>
          <w:lang w:eastAsia="zh-CN"/>
        </w:rPr>
      </w:pPr>
      <w:r w:rsidRPr="003E74C0">
        <w:rPr>
          <w:rFonts w:asciiTheme="minorHAnsi" w:eastAsia="SimSun" w:hAnsiTheme="minorHAnsi" w:cstheme="minorHAnsi"/>
          <w:b/>
          <w:bCs/>
          <w:color w:val="000000"/>
          <w:sz w:val="24"/>
          <w:szCs w:val="22"/>
          <w:u w:val="single"/>
          <w:lang w:eastAsia="zh-CN"/>
        </w:rPr>
        <w:t>Furnaces</w:t>
      </w:r>
    </w:p>
    <w:p w14:paraId="78CBA5FB"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color w:val="000000"/>
          <w:sz w:val="24"/>
          <w:szCs w:val="24"/>
          <w:lang w:eastAsia="zh-CN"/>
        </w:rPr>
      </w:pPr>
      <w:r w:rsidRPr="003E74C0">
        <w:rPr>
          <w:rFonts w:asciiTheme="minorHAnsi" w:eastAsia="SimSun" w:hAnsiTheme="minorHAnsi" w:cstheme="minorHAnsi"/>
          <w:color w:val="000000"/>
          <w:sz w:val="24"/>
          <w:szCs w:val="24"/>
          <w:lang w:eastAsia="zh-CN"/>
        </w:rPr>
        <w:t xml:space="preserve">The </w:t>
      </w:r>
      <w:r w:rsidR="00ED3C9E">
        <w:rPr>
          <w:rFonts w:asciiTheme="minorHAnsi" w:eastAsia="SimSun" w:hAnsiTheme="minorHAnsi" w:cstheme="minorHAnsi"/>
          <w:color w:val="000000"/>
          <w:sz w:val="24"/>
          <w:szCs w:val="24"/>
          <w:lang w:eastAsia="zh-CN"/>
        </w:rPr>
        <w:t>f</w:t>
      </w:r>
      <w:r w:rsidRPr="003E74C0">
        <w:rPr>
          <w:rFonts w:asciiTheme="minorHAnsi" w:eastAsia="SimSun" w:hAnsiTheme="minorHAnsi" w:cstheme="minorHAnsi"/>
          <w:color w:val="000000"/>
          <w:sz w:val="24"/>
          <w:szCs w:val="24"/>
          <w:lang w:eastAsia="zh-CN"/>
        </w:rPr>
        <w:t>urnace measure includes size range</w:t>
      </w:r>
      <w:r w:rsidR="00F70878" w:rsidRPr="003E74C0">
        <w:rPr>
          <w:rFonts w:asciiTheme="minorHAnsi" w:eastAsia="SimSun" w:hAnsiTheme="minorHAnsi" w:cstheme="minorHAnsi"/>
          <w:color w:val="000000"/>
          <w:sz w:val="24"/>
          <w:szCs w:val="24"/>
          <w:lang w:eastAsia="zh-CN"/>
        </w:rPr>
        <w:t xml:space="preserve"> from </w:t>
      </w:r>
      <w:r w:rsidRPr="003E74C0">
        <w:rPr>
          <w:rFonts w:asciiTheme="minorHAnsi" w:eastAsia="SimSun" w:hAnsiTheme="minorHAnsi" w:cstheme="minorHAnsi"/>
          <w:color w:val="000000"/>
          <w:sz w:val="24"/>
          <w:szCs w:val="24"/>
          <w:lang w:eastAsia="zh-CN"/>
        </w:rPr>
        <w:t>0-</w:t>
      </w:r>
      <w:r w:rsidR="00F70878" w:rsidRPr="003E74C0">
        <w:rPr>
          <w:rFonts w:asciiTheme="minorHAnsi" w:eastAsia="SimSun" w:hAnsiTheme="minorHAnsi" w:cstheme="minorHAnsi"/>
          <w:color w:val="000000"/>
          <w:sz w:val="24"/>
          <w:szCs w:val="24"/>
          <w:lang w:eastAsia="zh-CN"/>
        </w:rPr>
        <w:t xml:space="preserve">300 </w:t>
      </w:r>
      <w:r w:rsidRPr="003E74C0">
        <w:rPr>
          <w:rFonts w:asciiTheme="minorHAnsi" w:eastAsia="SimSun" w:hAnsiTheme="minorHAnsi" w:cstheme="minorHAnsi"/>
          <w:color w:val="000000"/>
          <w:sz w:val="24"/>
          <w:szCs w:val="24"/>
          <w:lang w:eastAsia="zh-CN"/>
        </w:rPr>
        <w:t xml:space="preserve">MBH. Furnaces must have efficiency </w:t>
      </w:r>
      <w:r w:rsidRPr="003E74C0">
        <w:rPr>
          <w:rFonts w:asciiTheme="minorHAnsi" w:eastAsia="SimSun" w:hAnsiTheme="minorHAnsi" w:cstheme="minorHAnsi"/>
          <w:color w:val="000000"/>
          <w:sz w:val="24"/>
          <w:szCs w:val="24"/>
          <w:lang w:eastAsia="zh-CN"/>
        </w:rPr>
        <w:lastRenderedPageBreak/>
        <w:t xml:space="preserve">ratings greater than </w:t>
      </w:r>
      <w:r w:rsidR="00712309" w:rsidRPr="003E74C0">
        <w:rPr>
          <w:rFonts w:asciiTheme="minorHAnsi" w:eastAsia="SimSun" w:hAnsiTheme="minorHAnsi" w:cstheme="minorHAnsi"/>
          <w:color w:val="000000"/>
          <w:sz w:val="24"/>
          <w:szCs w:val="24"/>
          <w:lang w:eastAsia="zh-CN"/>
        </w:rPr>
        <w:t>93</w:t>
      </w:r>
      <w:r w:rsidRPr="003E74C0">
        <w:rPr>
          <w:rFonts w:asciiTheme="minorHAnsi" w:eastAsia="SimSun" w:hAnsiTheme="minorHAnsi" w:cstheme="minorHAnsi"/>
          <w:color w:val="000000"/>
          <w:sz w:val="24"/>
          <w:szCs w:val="24"/>
          <w:lang w:eastAsia="zh-CN"/>
        </w:rPr>
        <w:t xml:space="preserve">% AFUE to qualify. Incrementally higher incentives are offered for units with efficiencies greater than </w:t>
      </w:r>
      <w:r w:rsidR="00712309" w:rsidRPr="003E74C0">
        <w:rPr>
          <w:rFonts w:asciiTheme="minorHAnsi" w:eastAsia="SimSun" w:hAnsiTheme="minorHAnsi" w:cstheme="minorHAnsi"/>
          <w:color w:val="000000"/>
          <w:sz w:val="24"/>
          <w:szCs w:val="24"/>
          <w:lang w:eastAsia="zh-CN"/>
        </w:rPr>
        <w:t xml:space="preserve">94 </w:t>
      </w:r>
      <w:r w:rsidRPr="003E74C0">
        <w:rPr>
          <w:rFonts w:asciiTheme="minorHAnsi" w:eastAsia="SimSun" w:hAnsiTheme="minorHAnsi" w:cstheme="minorHAnsi"/>
          <w:color w:val="000000"/>
          <w:sz w:val="24"/>
          <w:szCs w:val="24"/>
          <w:lang w:eastAsia="zh-CN"/>
        </w:rPr>
        <w:t xml:space="preserve">AFUE, </w:t>
      </w:r>
      <w:r w:rsidR="00712309" w:rsidRPr="003E74C0">
        <w:rPr>
          <w:rFonts w:asciiTheme="minorHAnsi" w:eastAsia="SimSun" w:hAnsiTheme="minorHAnsi" w:cstheme="minorHAnsi"/>
          <w:color w:val="000000"/>
          <w:sz w:val="24"/>
          <w:szCs w:val="24"/>
          <w:lang w:eastAsia="zh-CN"/>
        </w:rPr>
        <w:t xml:space="preserve">95 AFUE </w:t>
      </w:r>
      <w:r w:rsidRPr="003E74C0">
        <w:rPr>
          <w:rFonts w:asciiTheme="minorHAnsi" w:eastAsia="SimSun" w:hAnsiTheme="minorHAnsi" w:cstheme="minorHAnsi"/>
          <w:color w:val="000000"/>
          <w:sz w:val="24"/>
          <w:szCs w:val="24"/>
          <w:lang w:eastAsia="zh-CN"/>
        </w:rPr>
        <w:t>and 9</w:t>
      </w:r>
      <w:r w:rsidR="00712309" w:rsidRPr="003E74C0">
        <w:rPr>
          <w:rFonts w:asciiTheme="minorHAnsi" w:eastAsia="SimSun" w:hAnsiTheme="minorHAnsi" w:cstheme="minorHAnsi"/>
          <w:color w:val="000000"/>
          <w:sz w:val="24"/>
          <w:szCs w:val="24"/>
          <w:lang w:eastAsia="zh-CN"/>
        </w:rPr>
        <w:t>5.5</w:t>
      </w:r>
      <w:r w:rsidR="006105B8" w:rsidRPr="003E74C0">
        <w:rPr>
          <w:rFonts w:asciiTheme="minorHAnsi" w:eastAsia="SimSun" w:hAnsiTheme="minorHAnsi" w:cstheme="minorHAnsi"/>
          <w:color w:val="000000"/>
          <w:sz w:val="24"/>
          <w:szCs w:val="24"/>
          <w:lang w:eastAsia="zh-CN"/>
        </w:rPr>
        <w:t>%</w:t>
      </w:r>
      <w:r w:rsidRPr="003E74C0">
        <w:rPr>
          <w:rFonts w:asciiTheme="minorHAnsi" w:eastAsia="SimSun" w:hAnsiTheme="minorHAnsi" w:cstheme="minorHAnsi"/>
          <w:color w:val="000000"/>
          <w:sz w:val="24"/>
          <w:szCs w:val="24"/>
          <w:lang w:eastAsia="zh-CN"/>
        </w:rPr>
        <w:t xml:space="preserve"> AFUE.   </w:t>
      </w:r>
    </w:p>
    <w:p w14:paraId="37AB7FA0" w14:textId="77777777" w:rsidR="00AF761E" w:rsidRPr="003E74C0" w:rsidRDefault="00AF761E" w:rsidP="00AF761E">
      <w:pPr>
        <w:widowControl w:val="0"/>
        <w:numPr>
          <w:ilvl w:val="0"/>
          <w:numId w:val="36"/>
        </w:numPr>
        <w:autoSpaceDE w:val="0"/>
        <w:autoSpaceDN w:val="0"/>
        <w:adjustRightInd w:val="0"/>
        <w:spacing w:after="240" w:line="253" w:lineRule="atLeast"/>
        <w:jc w:val="left"/>
        <w:rPr>
          <w:rFonts w:asciiTheme="minorHAnsi" w:eastAsia="SimSun" w:hAnsiTheme="minorHAnsi" w:cstheme="minorHAnsi"/>
          <w:color w:val="000000"/>
          <w:sz w:val="24"/>
          <w:szCs w:val="24"/>
          <w:lang w:eastAsia="zh-CN"/>
        </w:rPr>
      </w:pPr>
      <w:r w:rsidRPr="003E74C0">
        <w:rPr>
          <w:rFonts w:asciiTheme="minorHAnsi" w:eastAsia="SimSun" w:hAnsiTheme="minorHAnsi" w:cstheme="minorHAnsi"/>
          <w:color w:val="000000"/>
          <w:sz w:val="24"/>
          <w:szCs w:val="24"/>
          <w:lang w:eastAsia="zh-CN"/>
        </w:rPr>
        <w:t xml:space="preserve">Please reference </w:t>
      </w:r>
      <w:hyperlink r:id="rId11" w:history="1">
        <w:r w:rsidRPr="003E74C0">
          <w:rPr>
            <w:rStyle w:val="Hyperlink"/>
            <w:rFonts w:asciiTheme="minorHAnsi" w:eastAsia="SimSun" w:hAnsiTheme="minorHAnsi" w:cstheme="minorHAnsi"/>
            <w:sz w:val="24"/>
            <w:szCs w:val="24"/>
            <w:lang w:eastAsia="zh-CN"/>
          </w:rPr>
          <w:t>www.ahridirectory.org</w:t>
        </w:r>
      </w:hyperlink>
      <w:r w:rsidRPr="003E74C0">
        <w:rPr>
          <w:rFonts w:asciiTheme="minorHAnsi" w:eastAsia="SimSun" w:hAnsiTheme="minorHAnsi" w:cstheme="minorHAnsi"/>
          <w:color w:val="000000"/>
          <w:sz w:val="24"/>
          <w:szCs w:val="24"/>
          <w:lang w:eastAsia="zh-CN"/>
        </w:rPr>
        <w:t xml:space="preserve"> for the </w:t>
      </w:r>
      <w:r w:rsidR="00ED3C9E">
        <w:rPr>
          <w:rFonts w:asciiTheme="minorHAnsi" w:eastAsia="SimSun" w:hAnsiTheme="minorHAnsi" w:cstheme="minorHAnsi"/>
          <w:color w:val="000000"/>
          <w:sz w:val="24"/>
          <w:szCs w:val="24"/>
          <w:lang w:eastAsia="zh-CN"/>
        </w:rPr>
        <w:t>f</w:t>
      </w:r>
      <w:r w:rsidRPr="003E74C0">
        <w:rPr>
          <w:rFonts w:asciiTheme="minorHAnsi" w:eastAsia="SimSun" w:hAnsiTheme="minorHAnsi" w:cstheme="minorHAnsi"/>
          <w:color w:val="000000"/>
          <w:sz w:val="24"/>
          <w:szCs w:val="24"/>
          <w:lang w:eastAsia="zh-CN"/>
        </w:rPr>
        <w:t xml:space="preserve">urnace efficiency ratings.      </w:t>
      </w:r>
    </w:p>
    <w:p w14:paraId="494BF743"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b/>
          <w:sz w:val="24"/>
          <w:szCs w:val="24"/>
          <w:u w:val="single"/>
          <w:lang w:eastAsia="zh-CN"/>
        </w:rPr>
      </w:pPr>
      <w:r w:rsidRPr="003E74C0">
        <w:rPr>
          <w:rFonts w:asciiTheme="minorHAnsi" w:eastAsia="SimSun" w:hAnsiTheme="minorHAnsi" w:cstheme="minorHAnsi"/>
          <w:b/>
          <w:sz w:val="24"/>
          <w:szCs w:val="24"/>
          <w:u w:val="single"/>
          <w:lang w:eastAsia="zh-CN"/>
        </w:rPr>
        <w:t>High Efficiency Space Heating and Process Boilers</w:t>
      </w:r>
    </w:p>
    <w:p w14:paraId="0259B2E4"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sz w:val="24"/>
          <w:szCs w:val="24"/>
          <w:lang w:eastAsia="zh-CN"/>
        </w:rPr>
      </w:pPr>
      <w:r w:rsidRPr="003E74C0">
        <w:rPr>
          <w:rFonts w:asciiTheme="minorHAnsi" w:eastAsia="SimSun" w:hAnsiTheme="minorHAnsi" w:cstheme="minorHAnsi"/>
          <w:sz w:val="24"/>
          <w:szCs w:val="24"/>
          <w:lang w:eastAsia="zh-CN"/>
        </w:rPr>
        <w:t xml:space="preserve">The qualifying space heating boilers must meet the qualifications listed in the following table. </w:t>
      </w:r>
    </w:p>
    <w:p w14:paraId="4630775F" w14:textId="77777777" w:rsidR="00AF761E" w:rsidRPr="003E74C0" w:rsidRDefault="00AF761E" w:rsidP="00AF761E">
      <w:pPr>
        <w:widowControl w:val="0"/>
        <w:numPr>
          <w:ilvl w:val="0"/>
          <w:numId w:val="37"/>
        </w:numPr>
        <w:autoSpaceDE w:val="0"/>
        <w:autoSpaceDN w:val="0"/>
        <w:adjustRightInd w:val="0"/>
        <w:spacing w:after="240" w:line="253" w:lineRule="atLeast"/>
        <w:jc w:val="left"/>
        <w:rPr>
          <w:rFonts w:asciiTheme="minorHAnsi" w:eastAsia="SimSun" w:hAnsiTheme="minorHAnsi" w:cstheme="minorHAnsi"/>
          <w:sz w:val="24"/>
          <w:szCs w:val="24"/>
          <w:lang w:eastAsia="zh-CN"/>
        </w:rPr>
      </w:pPr>
      <w:r w:rsidRPr="003E74C0">
        <w:rPr>
          <w:rFonts w:asciiTheme="minorHAnsi" w:eastAsia="SimSun" w:hAnsiTheme="minorHAnsi" w:cstheme="minorHAnsi"/>
          <w:sz w:val="24"/>
          <w:szCs w:val="24"/>
          <w:lang w:eastAsia="zh-CN"/>
        </w:rPr>
        <w:t xml:space="preserve">Please reference </w:t>
      </w:r>
      <w:hyperlink r:id="rId12" w:history="1">
        <w:r w:rsidRPr="003E74C0">
          <w:rPr>
            <w:rFonts w:asciiTheme="minorHAnsi" w:eastAsia="SimSun" w:hAnsiTheme="minorHAnsi" w:cstheme="minorHAnsi"/>
            <w:color w:val="0000FF"/>
            <w:sz w:val="24"/>
            <w:szCs w:val="24"/>
            <w:u w:val="single"/>
            <w:lang w:eastAsia="zh-CN"/>
          </w:rPr>
          <w:t>www.ahridirectory.org</w:t>
        </w:r>
      </w:hyperlink>
      <w:r w:rsidRPr="003E74C0">
        <w:rPr>
          <w:rFonts w:asciiTheme="minorHAnsi" w:eastAsia="SimSun" w:hAnsiTheme="minorHAnsi" w:cstheme="minorHAnsi"/>
          <w:sz w:val="24"/>
          <w:szCs w:val="24"/>
          <w:lang w:eastAsia="zh-CN"/>
        </w:rPr>
        <w:t xml:space="preserve"> for efficiency ratings.   </w:t>
      </w:r>
    </w:p>
    <w:p w14:paraId="4C60473D" w14:textId="77777777" w:rsidR="00AF761E" w:rsidRPr="003E74C0" w:rsidRDefault="00AF761E" w:rsidP="00AF761E">
      <w:pPr>
        <w:widowControl w:val="0"/>
        <w:autoSpaceDE w:val="0"/>
        <w:autoSpaceDN w:val="0"/>
        <w:adjustRightInd w:val="0"/>
        <w:spacing w:after="240" w:line="253" w:lineRule="atLeast"/>
        <w:ind w:left="2847" w:right="1765"/>
        <w:jc w:val="left"/>
        <w:rPr>
          <w:rFonts w:asciiTheme="minorHAnsi" w:eastAsia="SimSun" w:hAnsiTheme="minorHAnsi" w:cstheme="minorHAnsi"/>
          <w:b/>
          <w:bCs/>
          <w:sz w:val="24"/>
          <w:szCs w:val="24"/>
          <w:lang w:eastAsia="zh-CN"/>
        </w:rPr>
      </w:pPr>
      <w:r w:rsidRPr="003E74C0">
        <w:rPr>
          <w:rFonts w:asciiTheme="minorHAnsi" w:eastAsia="SimSun" w:hAnsiTheme="minorHAnsi" w:cstheme="minorHAnsi"/>
          <w:b/>
          <w:bCs/>
          <w:sz w:val="24"/>
          <w:szCs w:val="24"/>
          <w:lang w:eastAsia="zh-CN"/>
        </w:rPr>
        <w:t xml:space="preserve">Qualification Requirements for Boilers </w:t>
      </w:r>
    </w:p>
    <w:p w14:paraId="2499C3D5" w14:textId="77777777" w:rsidR="00AF761E" w:rsidRPr="003E74C0" w:rsidRDefault="00AF761E" w:rsidP="00AF761E">
      <w:pPr>
        <w:widowControl w:val="0"/>
        <w:autoSpaceDE w:val="0"/>
        <w:autoSpaceDN w:val="0"/>
        <w:adjustRightInd w:val="0"/>
        <w:spacing w:after="240" w:line="253" w:lineRule="atLeast"/>
        <w:ind w:left="720" w:hanging="360"/>
        <w:jc w:val="center"/>
        <w:rPr>
          <w:rFonts w:asciiTheme="minorHAnsi" w:eastAsia="SimSun" w:hAnsiTheme="minorHAnsi" w:cstheme="minorHAnsi"/>
          <w:sz w:val="24"/>
          <w:szCs w:val="24"/>
          <w:lang w:eastAsia="zh-CN"/>
        </w:rPr>
      </w:pPr>
      <w:r w:rsidRPr="003E74C0">
        <w:rPr>
          <w:rFonts w:asciiTheme="minorHAnsi" w:eastAsia="SimSun" w:hAnsiTheme="minorHAnsi" w:cstheme="minorHAnsi"/>
          <w:noProof/>
          <w:sz w:val="24"/>
          <w:szCs w:val="24"/>
        </w:rPr>
        <mc:AlternateContent>
          <mc:Choice Requires="wps">
            <w:drawing>
              <wp:inline distT="0" distB="0" distL="0" distR="0" wp14:anchorId="76DA2C32" wp14:editId="2ADE8190">
                <wp:extent cx="4591050" cy="1069388"/>
                <wp:effectExtent l="0" t="0" r="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069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172"/>
                              <w:gridCol w:w="3416"/>
                            </w:tblGrid>
                            <w:tr w:rsidR="00236998" w14:paraId="733FF9ED" w14:textId="77777777" w:rsidTr="00AF761E">
                              <w:trPr>
                                <w:trHeight w:val="276"/>
                              </w:trPr>
                              <w:tc>
                                <w:tcPr>
                                  <w:tcW w:w="3172" w:type="dxa"/>
                                  <w:tcBorders>
                                    <w:top w:val="single" w:sz="6" w:space="0" w:color="000000"/>
                                    <w:left w:val="single" w:sz="4" w:space="0" w:color="000000"/>
                                    <w:bottom w:val="single" w:sz="4" w:space="0" w:color="000000"/>
                                    <w:right w:val="single" w:sz="4" w:space="0" w:color="000000"/>
                                  </w:tcBorders>
                                  <w:shd w:val="clear" w:color="auto" w:fill="A6A6A6"/>
                                  <w:vAlign w:val="center"/>
                                </w:tcPr>
                                <w:p w14:paraId="6A9F7569" w14:textId="77777777" w:rsidR="00236998" w:rsidRPr="003E74C0" w:rsidRDefault="00236998" w:rsidP="00236998">
                                  <w:pPr>
                                    <w:pStyle w:val="Default"/>
                                    <w:jc w:val="center"/>
                                    <w:rPr>
                                      <w:rFonts w:asciiTheme="minorHAnsi" w:hAnsiTheme="minorHAnsi" w:cstheme="minorHAnsi"/>
                                      <w:b/>
                                      <w:sz w:val="20"/>
                                      <w:szCs w:val="20"/>
                                    </w:rPr>
                                  </w:pPr>
                                  <w:r w:rsidRPr="003E74C0">
                                    <w:rPr>
                                      <w:rFonts w:asciiTheme="minorHAnsi" w:hAnsiTheme="minorHAnsi" w:cstheme="minorHAnsi"/>
                                      <w:b/>
                                      <w:sz w:val="20"/>
                                      <w:szCs w:val="20"/>
                                    </w:rPr>
                                    <w:t>Size Category</w:t>
                                  </w:r>
                                </w:p>
                              </w:tc>
                              <w:tc>
                                <w:tcPr>
                                  <w:tcW w:w="3416" w:type="dxa"/>
                                  <w:tcBorders>
                                    <w:top w:val="single" w:sz="6" w:space="0" w:color="000000"/>
                                    <w:left w:val="single" w:sz="4" w:space="0" w:color="000000"/>
                                    <w:bottom w:val="single" w:sz="4" w:space="0" w:color="000000"/>
                                    <w:right w:val="single" w:sz="4" w:space="0" w:color="000000"/>
                                  </w:tcBorders>
                                  <w:shd w:val="clear" w:color="auto" w:fill="A6A6A6"/>
                                  <w:vAlign w:val="center"/>
                                </w:tcPr>
                                <w:p w14:paraId="0268382E" w14:textId="77777777" w:rsidR="00236998" w:rsidRPr="003E74C0" w:rsidRDefault="00236998" w:rsidP="00236998">
                                  <w:pPr>
                                    <w:pStyle w:val="Default"/>
                                    <w:jc w:val="center"/>
                                    <w:rPr>
                                      <w:rFonts w:asciiTheme="minorHAnsi" w:hAnsiTheme="minorHAnsi" w:cstheme="minorHAnsi"/>
                                      <w:b/>
                                      <w:sz w:val="20"/>
                                      <w:szCs w:val="20"/>
                                    </w:rPr>
                                  </w:pPr>
                                  <w:r w:rsidRPr="003E74C0">
                                    <w:rPr>
                                      <w:rFonts w:asciiTheme="minorHAnsi" w:hAnsiTheme="minorHAnsi" w:cstheme="minorHAnsi"/>
                                      <w:b/>
                                      <w:sz w:val="20"/>
                                      <w:szCs w:val="20"/>
                                    </w:rPr>
                                    <w:t>Required Efficiency</w:t>
                                  </w:r>
                                </w:p>
                              </w:tc>
                            </w:tr>
                            <w:tr w:rsidR="00236998" w14:paraId="71D87F23" w14:textId="77777777" w:rsidTr="00236998">
                              <w:trPr>
                                <w:trHeight w:val="276"/>
                              </w:trPr>
                              <w:tc>
                                <w:tcPr>
                                  <w:tcW w:w="3172" w:type="dxa"/>
                                  <w:tcBorders>
                                    <w:top w:val="single" w:sz="6" w:space="0" w:color="000000"/>
                                    <w:left w:val="single" w:sz="4" w:space="0" w:color="000000"/>
                                    <w:bottom w:val="single" w:sz="4" w:space="0" w:color="000000"/>
                                    <w:right w:val="single" w:sz="4" w:space="0" w:color="000000"/>
                                  </w:tcBorders>
                                  <w:vAlign w:val="center"/>
                                </w:tcPr>
                                <w:p w14:paraId="7863E24C"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Non-Condensing &lt; 300,000 Btuh </w:t>
                                  </w:r>
                                </w:p>
                              </w:tc>
                              <w:tc>
                                <w:tcPr>
                                  <w:tcW w:w="3416" w:type="dxa"/>
                                  <w:tcBorders>
                                    <w:top w:val="single" w:sz="6" w:space="0" w:color="000000"/>
                                    <w:left w:val="single" w:sz="4" w:space="0" w:color="000000"/>
                                    <w:bottom w:val="single" w:sz="4" w:space="0" w:color="000000"/>
                                    <w:right w:val="single" w:sz="4" w:space="0" w:color="000000"/>
                                  </w:tcBorders>
                                  <w:vAlign w:val="center"/>
                                </w:tcPr>
                                <w:p w14:paraId="2AED6F6D"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AFUE 85.6% or Higher </w:t>
                                  </w:r>
                                </w:p>
                              </w:tc>
                            </w:tr>
                            <w:tr w:rsidR="00236998" w14:paraId="66873E9B" w14:textId="77777777" w:rsidTr="00236998">
                              <w:trPr>
                                <w:trHeight w:val="270"/>
                              </w:trPr>
                              <w:tc>
                                <w:tcPr>
                                  <w:tcW w:w="3172" w:type="dxa"/>
                                  <w:tcBorders>
                                    <w:top w:val="single" w:sz="4" w:space="0" w:color="000000"/>
                                    <w:left w:val="single" w:sz="4" w:space="0" w:color="000000"/>
                                    <w:bottom w:val="single" w:sz="4" w:space="0" w:color="000000"/>
                                    <w:right w:val="single" w:sz="4" w:space="0" w:color="000000"/>
                                  </w:tcBorders>
                                  <w:vAlign w:val="center"/>
                                </w:tcPr>
                                <w:p w14:paraId="19925A0D"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Non-Condensing ≥ 300,000 Btuh </w:t>
                                  </w:r>
                                </w:p>
                              </w:tc>
                              <w:tc>
                                <w:tcPr>
                                  <w:tcW w:w="3416" w:type="dxa"/>
                                  <w:tcBorders>
                                    <w:top w:val="single" w:sz="4" w:space="0" w:color="000000"/>
                                    <w:left w:val="single" w:sz="4" w:space="0" w:color="000000"/>
                                    <w:bottom w:val="single" w:sz="4" w:space="0" w:color="000000"/>
                                    <w:right w:val="single" w:sz="4" w:space="0" w:color="000000"/>
                                  </w:tcBorders>
                                  <w:vAlign w:val="center"/>
                                </w:tcPr>
                                <w:p w14:paraId="1E9573C6"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Thermal Efficiency 85.6% or Higher </w:t>
                                  </w:r>
                                </w:p>
                              </w:tc>
                            </w:tr>
                            <w:tr w:rsidR="00236998" w14:paraId="1DD36D21" w14:textId="77777777" w:rsidTr="00236998">
                              <w:trPr>
                                <w:trHeight w:val="270"/>
                              </w:trPr>
                              <w:tc>
                                <w:tcPr>
                                  <w:tcW w:w="3172" w:type="dxa"/>
                                  <w:tcBorders>
                                    <w:top w:val="single" w:sz="4" w:space="0" w:color="000000"/>
                                    <w:left w:val="single" w:sz="4" w:space="0" w:color="000000"/>
                                    <w:bottom w:val="single" w:sz="4" w:space="0" w:color="000000"/>
                                    <w:right w:val="single" w:sz="4" w:space="0" w:color="000000"/>
                                  </w:tcBorders>
                                  <w:vAlign w:val="center"/>
                                </w:tcPr>
                                <w:p w14:paraId="6D79ABAE"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Condensing &lt; 300,000 Btuh </w:t>
                                  </w:r>
                                </w:p>
                              </w:tc>
                              <w:tc>
                                <w:tcPr>
                                  <w:tcW w:w="3416" w:type="dxa"/>
                                  <w:tcBorders>
                                    <w:top w:val="single" w:sz="4" w:space="0" w:color="000000"/>
                                    <w:left w:val="single" w:sz="4" w:space="0" w:color="000000"/>
                                    <w:bottom w:val="single" w:sz="4" w:space="0" w:color="000000"/>
                                    <w:right w:val="single" w:sz="4" w:space="0" w:color="000000"/>
                                  </w:tcBorders>
                                  <w:vAlign w:val="center"/>
                                </w:tcPr>
                                <w:p w14:paraId="6FBC1736"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AFUE 89% or Higher </w:t>
                                  </w:r>
                                </w:p>
                              </w:tc>
                            </w:tr>
                            <w:tr w:rsidR="00236998" w14:paraId="0BB72430" w14:textId="77777777" w:rsidTr="00236998">
                              <w:trPr>
                                <w:trHeight w:val="271"/>
                              </w:trPr>
                              <w:tc>
                                <w:tcPr>
                                  <w:tcW w:w="3172" w:type="dxa"/>
                                  <w:tcBorders>
                                    <w:top w:val="single" w:sz="4" w:space="0" w:color="000000"/>
                                    <w:left w:val="single" w:sz="4" w:space="0" w:color="000000"/>
                                    <w:bottom w:val="single" w:sz="6" w:space="0" w:color="000000"/>
                                    <w:right w:val="single" w:sz="4" w:space="0" w:color="000000"/>
                                  </w:tcBorders>
                                  <w:vAlign w:val="center"/>
                                </w:tcPr>
                                <w:p w14:paraId="530E3DDD"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Condensing ≥ 300,000 Btuh </w:t>
                                  </w:r>
                                </w:p>
                              </w:tc>
                              <w:tc>
                                <w:tcPr>
                                  <w:tcW w:w="3416" w:type="dxa"/>
                                  <w:tcBorders>
                                    <w:top w:val="single" w:sz="4" w:space="0" w:color="000000"/>
                                    <w:left w:val="single" w:sz="4" w:space="0" w:color="000000"/>
                                    <w:bottom w:val="single" w:sz="6" w:space="0" w:color="000000"/>
                                    <w:right w:val="single" w:sz="4" w:space="0" w:color="000000"/>
                                  </w:tcBorders>
                                  <w:vAlign w:val="center"/>
                                </w:tcPr>
                                <w:p w14:paraId="64682DEF"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Thermal Efficiency 89% or Higher </w:t>
                                  </w:r>
                                </w:p>
                              </w:tc>
                            </w:tr>
                          </w:tbl>
                          <w:p w14:paraId="0BF3EA4E" w14:textId="77777777" w:rsidR="00236998" w:rsidRDefault="00236998" w:rsidP="00AF761E">
                            <w:pPr>
                              <w:jc w:val="center"/>
                            </w:pPr>
                          </w:p>
                        </w:txbxContent>
                      </wps:txbx>
                      <wps:bodyPr rot="0" vert="horz" wrap="square" lIns="91440" tIns="45720" rIns="91440" bIns="45720" anchor="t" anchorCtr="0" upright="1">
                        <a:noAutofit/>
                      </wps:bodyPr>
                    </wps:wsp>
                  </a:graphicData>
                </a:graphic>
              </wp:inline>
            </w:drawing>
          </mc:Choice>
          <mc:Fallback>
            <w:pict>
              <v:shapetype w14:anchorId="76DA2C32" id="_x0000_t202" coordsize="21600,21600" o:spt="202" path="m,l,21600r21600,l21600,xe">
                <v:stroke joinstyle="miter"/>
                <v:path gradientshapeok="t" o:connecttype="rect"/>
              </v:shapetype>
              <v:shape id="Text Box 3" o:spid="_x0000_s1026" type="#_x0000_t202" style="width:361.5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L6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CQxGkYxGCqwBYGs/QySVw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72"/>
                        <w:gridCol w:w="3416"/>
                      </w:tblGrid>
                      <w:tr w:rsidR="00236998" w14:paraId="733FF9ED" w14:textId="77777777" w:rsidTr="00AF761E">
                        <w:trPr>
                          <w:trHeight w:val="276"/>
                        </w:trPr>
                        <w:tc>
                          <w:tcPr>
                            <w:tcW w:w="3172" w:type="dxa"/>
                            <w:tcBorders>
                              <w:top w:val="single" w:sz="6" w:space="0" w:color="000000"/>
                              <w:left w:val="single" w:sz="4" w:space="0" w:color="000000"/>
                              <w:bottom w:val="single" w:sz="4" w:space="0" w:color="000000"/>
                              <w:right w:val="single" w:sz="4" w:space="0" w:color="000000"/>
                            </w:tcBorders>
                            <w:shd w:val="clear" w:color="auto" w:fill="A6A6A6"/>
                            <w:vAlign w:val="center"/>
                          </w:tcPr>
                          <w:p w14:paraId="6A9F7569" w14:textId="77777777" w:rsidR="00236998" w:rsidRPr="003E74C0" w:rsidRDefault="00236998" w:rsidP="00236998">
                            <w:pPr>
                              <w:pStyle w:val="Default"/>
                              <w:jc w:val="center"/>
                              <w:rPr>
                                <w:rFonts w:asciiTheme="minorHAnsi" w:hAnsiTheme="minorHAnsi" w:cstheme="minorHAnsi"/>
                                <w:b/>
                                <w:sz w:val="20"/>
                                <w:szCs w:val="20"/>
                              </w:rPr>
                            </w:pPr>
                            <w:r w:rsidRPr="003E74C0">
                              <w:rPr>
                                <w:rFonts w:asciiTheme="minorHAnsi" w:hAnsiTheme="minorHAnsi" w:cstheme="minorHAnsi"/>
                                <w:b/>
                                <w:sz w:val="20"/>
                                <w:szCs w:val="20"/>
                              </w:rPr>
                              <w:t>Size Category</w:t>
                            </w:r>
                          </w:p>
                        </w:tc>
                        <w:tc>
                          <w:tcPr>
                            <w:tcW w:w="3416" w:type="dxa"/>
                            <w:tcBorders>
                              <w:top w:val="single" w:sz="6" w:space="0" w:color="000000"/>
                              <w:left w:val="single" w:sz="4" w:space="0" w:color="000000"/>
                              <w:bottom w:val="single" w:sz="4" w:space="0" w:color="000000"/>
                              <w:right w:val="single" w:sz="4" w:space="0" w:color="000000"/>
                            </w:tcBorders>
                            <w:shd w:val="clear" w:color="auto" w:fill="A6A6A6"/>
                            <w:vAlign w:val="center"/>
                          </w:tcPr>
                          <w:p w14:paraId="0268382E" w14:textId="77777777" w:rsidR="00236998" w:rsidRPr="003E74C0" w:rsidRDefault="00236998" w:rsidP="00236998">
                            <w:pPr>
                              <w:pStyle w:val="Default"/>
                              <w:jc w:val="center"/>
                              <w:rPr>
                                <w:rFonts w:asciiTheme="minorHAnsi" w:hAnsiTheme="minorHAnsi" w:cstheme="minorHAnsi"/>
                                <w:b/>
                                <w:sz w:val="20"/>
                                <w:szCs w:val="20"/>
                              </w:rPr>
                            </w:pPr>
                            <w:r w:rsidRPr="003E74C0">
                              <w:rPr>
                                <w:rFonts w:asciiTheme="minorHAnsi" w:hAnsiTheme="minorHAnsi" w:cstheme="minorHAnsi"/>
                                <w:b/>
                                <w:sz w:val="20"/>
                                <w:szCs w:val="20"/>
                              </w:rPr>
                              <w:t>Required Efficiency</w:t>
                            </w:r>
                          </w:p>
                        </w:tc>
                      </w:tr>
                      <w:tr w:rsidR="00236998" w14:paraId="71D87F23" w14:textId="77777777" w:rsidTr="00236998">
                        <w:trPr>
                          <w:trHeight w:val="276"/>
                        </w:trPr>
                        <w:tc>
                          <w:tcPr>
                            <w:tcW w:w="3172" w:type="dxa"/>
                            <w:tcBorders>
                              <w:top w:val="single" w:sz="6" w:space="0" w:color="000000"/>
                              <w:left w:val="single" w:sz="4" w:space="0" w:color="000000"/>
                              <w:bottom w:val="single" w:sz="4" w:space="0" w:color="000000"/>
                              <w:right w:val="single" w:sz="4" w:space="0" w:color="000000"/>
                            </w:tcBorders>
                            <w:vAlign w:val="center"/>
                          </w:tcPr>
                          <w:p w14:paraId="7863E24C"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Non-Condensing &lt; 300,000 Btuh </w:t>
                            </w:r>
                          </w:p>
                        </w:tc>
                        <w:tc>
                          <w:tcPr>
                            <w:tcW w:w="3416" w:type="dxa"/>
                            <w:tcBorders>
                              <w:top w:val="single" w:sz="6" w:space="0" w:color="000000"/>
                              <w:left w:val="single" w:sz="4" w:space="0" w:color="000000"/>
                              <w:bottom w:val="single" w:sz="4" w:space="0" w:color="000000"/>
                              <w:right w:val="single" w:sz="4" w:space="0" w:color="000000"/>
                            </w:tcBorders>
                            <w:vAlign w:val="center"/>
                          </w:tcPr>
                          <w:p w14:paraId="2AED6F6D"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AFUE 85.6% or Higher </w:t>
                            </w:r>
                          </w:p>
                        </w:tc>
                      </w:tr>
                      <w:tr w:rsidR="00236998" w14:paraId="66873E9B" w14:textId="77777777" w:rsidTr="00236998">
                        <w:trPr>
                          <w:trHeight w:val="270"/>
                        </w:trPr>
                        <w:tc>
                          <w:tcPr>
                            <w:tcW w:w="3172" w:type="dxa"/>
                            <w:tcBorders>
                              <w:top w:val="single" w:sz="4" w:space="0" w:color="000000"/>
                              <w:left w:val="single" w:sz="4" w:space="0" w:color="000000"/>
                              <w:bottom w:val="single" w:sz="4" w:space="0" w:color="000000"/>
                              <w:right w:val="single" w:sz="4" w:space="0" w:color="000000"/>
                            </w:tcBorders>
                            <w:vAlign w:val="center"/>
                          </w:tcPr>
                          <w:p w14:paraId="19925A0D"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Non-Condensing ≥ 300,000 Btuh </w:t>
                            </w:r>
                          </w:p>
                        </w:tc>
                        <w:tc>
                          <w:tcPr>
                            <w:tcW w:w="3416" w:type="dxa"/>
                            <w:tcBorders>
                              <w:top w:val="single" w:sz="4" w:space="0" w:color="000000"/>
                              <w:left w:val="single" w:sz="4" w:space="0" w:color="000000"/>
                              <w:bottom w:val="single" w:sz="4" w:space="0" w:color="000000"/>
                              <w:right w:val="single" w:sz="4" w:space="0" w:color="000000"/>
                            </w:tcBorders>
                            <w:vAlign w:val="center"/>
                          </w:tcPr>
                          <w:p w14:paraId="1E9573C6"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Thermal Efficiency 85.6% or Higher </w:t>
                            </w:r>
                          </w:p>
                        </w:tc>
                      </w:tr>
                      <w:tr w:rsidR="00236998" w14:paraId="1DD36D21" w14:textId="77777777" w:rsidTr="00236998">
                        <w:trPr>
                          <w:trHeight w:val="270"/>
                        </w:trPr>
                        <w:tc>
                          <w:tcPr>
                            <w:tcW w:w="3172" w:type="dxa"/>
                            <w:tcBorders>
                              <w:top w:val="single" w:sz="4" w:space="0" w:color="000000"/>
                              <w:left w:val="single" w:sz="4" w:space="0" w:color="000000"/>
                              <w:bottom w:val="single" w:sz="4" w:space="0" w:color="000000"/>
                              <w:right w:val="single" w:sz="4" w:space="0" w:color="000000"/>
                            </w:tcBorders>
                            <w:vAlign w:val="center"/>
                          </w:tcPr>
                          <w:p w14:paraId="6D79ABAE"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Condensing &lt; 300,000 Btuh </w:t>
                            </w:r>
                          </w:p>
                        </w:tc>
                        <w:tc>
                          <w:tcPr>
                            <w:tcW w:w="3416" w:type="dxa"/>
                            <w:tcBorders>
                              <w:top w:val="single" w:sz="4" w:space="0" w:color="000000"/>
                              <w:left w:val="single" w:sz="4" w:space="0" w:color="000000"/>
                              <w:bottom w:val="single" w:sz="4" w:space="0" w:color="000000"/>
                              <w:right w:val="single" w:sz="4" w:space="0" w:color="000000"/>
                            </w:tcBorders>
                            <w:vAlign w:val="center"/>
                          </w:tcPr>
                          <w:p w14:paraId="6FBC1736"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AFUE 89% or Higher </w:t>
                            </w:r>
                          </w:p>
                        </w:tc>
                      </w:tr>
                      <w:tr w:rsidR="00236998" w14:paraId="0BB72430" w14:textId="77777777" w:rsidTr="00236998">
                        <w:trPr>
                          <w:trHeight w:val="271"/>
                        </w:trPr>
                        <w:tc>
                          <w:tcPr>
                            <w:tcW w:w="3172" w:type="dxa"/>
                            <w:tcBorders>
                              <w:top w:val="single" w:sz="4" w:space="0" w:color="000000"/>
                              <w:left w:val="single" w:sz="4" w:space="0" w:color="000000"/>
                              <w:bottom w:val="single" w:sz="6" w:space="0" w:color="000000"/>
                              <w:right w:val="single" w:sz="4" w:space="0" w:color="000000"/>
                            </w:tcBorders>
                            <w:vAlign w:val="center"/>
                          </w:tcPr>
                          <w:p w14:paraId="530E3DDD"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Condensing ≥ 300,000 Btuh </w:t>
                            </w:r>
                          </w:p>
                        </w:tc>
                        <w:tc>
                          <w:tcPr>
                            <w:tcW w:w="3416" w:type="dxa"/>
                            <w:tcBorders>
                              <w:top w:val="single" w:sz="4" w:space="0" w:color="000000"/>
                              <w:left w:val="single" w:sz="4" w:space="0" w:color="000000"/>
                              <w:bottom w:val="single" w:sz="6" w:space="0" w:color="000000"/>
                              <w:right w:val="single" w:sz="4" w:space="0" w:color="000000"/>
                            </w:tcBorders>
                            <w:vAlign w:val="center"/>
                          </w:tcPr>
                          <w:p w14:paraId="64682DEF" w14:textId="77777777" w:rsidR="00236998" w:rsidRPr="003E74C0" w:rsidRDefault="00236998" w:rsidP="00236998">
                            <w:pPr>
                              <w:pStyle w:val="Default"/>
                              <w:jc w:val="center"/>
                              <w:rPr>
                                <w:rFonts w:asciiTheme="minorHAnsi" w:hAnsiTheme="minorHAnsi" w:cstheme="minorHAnsi"/>
                                <w:sz w:val="20"/>
                                <w:szCs w:val="20"/>
                              </w:rPr>
                            </w:pPr>
                            <w:r w:rsidRPr="003E74C0">
                              <w:rPr>
                                <w:rFonts w:asciiTheme="minorHAnsi" w:hAnsiTheme="minorHAnsi" w:cstheme="minorHAnsi"/>
                                <w:sz w:val="20"/>
                                <w:szCs w:val="20"/>
                              </w:rPr>
                              <w:t xml:space="preserve">Thermal Efficiency 89% or Higher </w:t>
                            </w:r>
                          </w:p>
                        </w:tc>
                      </w:tr>
                    </w:tbl>
                    <w:p w14:paraId="0BF3EA4E" w14:textId="77777777" w:rsidR="00236998" w:rsidRDefault="00236998" w:rsidP="00AF761E">
                      <w:pPr>
                        <w:jc w:val="center"/>
                      </w:pPr>
                    </w:p>
                  </w:txbxContent>
                </v:textbox>
                <w10:anchorlock/>
              </v:shape>
            </w:pict>
          </mc:Fallback>
        </mc:AlternateContent>
      </w:r>
    </w:p>
    <w:p w14:paraId="39FA7F99"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sz w:val="24"/>
          <w:szCs w:val="24"/>
          <w:lang w:eastAsia="zh-CN"/>
        </w:rPr>
      </w:pPr>
      <w:r w:rsidRPr="003E74C0">
        <w:rPr>
          <w:rFonts w:asciiTheme="minorHAnsi" w:eastAsia="SimSun" w:hAnsiTheme="minorHAnsi" w:cstheme="minorHAnsi"/>
          <w:b/>
          <w:bCs/>
          <w:sz w:val="24"/>
          <w:szCs w:val="24"/>
          <w:u w:val="single"/>
          <w:lang w:eastAsia="zh-CN"/>
        </w:rPr>
        <w:t xml:space="preserve">Water Heaters </w:t>
      </w:r>
    </w:p>
    <w:p w14:paraId="59FDD36B"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sz w:val="24"/>
          <w:szCs w:val="24"/>
          <w:lang w:eastAsia="zh-CN"/>
        </w:rPr>
      </w:pPr>
      <w:r w:rsidRPr="003E74C0">
        <w:rPr>
          <w:rFonts w:asciiTheme="minorHAnsi" w:eastAsia="SimSun" w:hAnsiTheme="minorHAnsi" w:cstheme="minorHAnsi"/>
          <w:sz w:val="24"/>
          <w:szCs w:val="24"/>
          <w:lang w:eastAsia="zh-CN"/>
        </w:rPr>
        <w:t xml:space="preserve">Qualifying gas water heaters must meet efficiency requirements based on size, as shown in the table below. </w:t>
      </w:r>
    </w:p>
    <w:p w14:paraId="79A48A9B" w14:textId="77777777" w:rsidR="00AF761E" w:rsidRPr="003E74C0" w:rsidRDefault="00AF761E" w:rsidP="00AF761E">
      <w:pPr>
        <w:widowControl w:val="0"/>
        <w:numPr>
          <w:ilvl w:val="0"/>
          <w:numId w:val="37"/>
        </w:numPr>
        <w:autoSpaceDE w:val="0"/>
        <w:autoSpaceDN w:val="0"/>
        <w:adjustRightInd w:val="0"/>
        <w:spacing w:after="240" w:line="253" w:lineRule="atLeast"/>
        <w:jc w:val="left"/>
        <w:rPr>
          <w:rFonts w:asciiTheme="minorHAnsi" w:eastAsia="SimSun" w:hAnsiTheme="minorHAnsi" w:cstheme="minorHAnsi"/>
          <w:sz w:val="24"/>
          <w:szCs w:val="24"/>
          <w:lang w:eastAsia="zh-CN"/>
        </w:rPr>
      </w:pPr>
      <w:r w:rsidRPr="003E74C0">
        <w:rPr>
          <w:rFonts w:asciiTheme="minorHAnsi" w:eastAsia="SimSun" w:hAnsiTheme="minorHAnsi" w:cstheme="minorHAnsi"/>
          <w:sz w:val="24"/>
          <w:szCs w:val="24"/>
          <w:lang w:eastAsia="zh-CN"/>
        </w:rPr>
        <w:t xml:space="preserve">Please reference </w:t>
      </w:r>
      <w:hyperlink r:id="rId13" w:history="1">
        <w:r w:rsidRPr="003E74C0">
          <w:rPr>
            <w:rFonts w:asciiTheme="minorHAnsi" w:eastAsia="SimSun" w:hAnsiTheme="minorHAnsi" w:cstheme="minorHAnsi"/>
            <w:color w:val="0000FF"/>
            <w:sz w:val="24"/>
            <w:szCs w:val="24"/>
            <w:u w:val="single"/>
            <w:lang w:eastAsia="zh-CN"/>
          </w:rPr>
          <w:t>www.ahridirectory.org</w:t>
        </w:r>
      </w:hyperlink>
      <w:r w:rsidRPr="003E74C0">
        <w:rPr>
          <w:rFonts w:asciiTheme="minorHAnsi" w:eastAsia="SimSun" w:hAnsiTheme="minorHAnsi" w:cstheme="minorHAnsi"/>
          <w:sz w:val="24"/>
          <w:szCs w:val="24"/>
          <w:lang w:eastAsia="zh-CN"/>
        </w:rPr>
        <w:t xml:space="preserve"> for efficiency ratings.      </w:t>
      </w:r>
    </w:p>
    <w:p w14:paraId="38665B3D" w14:textId="77777777" w:rsidR="00AF761E" w:rsidRPr="003E74C0" w:rsidRDefault="00AF761E" w:rsidP="00AF761E">
      <w:pPr>
        <w:widowControl w:val="0"/>
        <w:autoSpaceDE w:val="0"/>
        <w:autoSpaceDN w:val="0"/>
        <w:adjustRightInd w:val="0"/>
        <w:spacing w:after="240" w:line="253" w:lineRule="atLeast"/>
        <w:ind w:left="3382" w:right="2742"/>
        <w:jc w:val="left"/>
        <w:rPr>
          <w:rFonts w:asciiTheme="minorHAnsi" w:eastAsia="SimSun" w:hAnsiTheme="minorHAnsi" w:cstheme="minorHAnsi"/>
          <w:sz w:val="24"/>
          <w:szCs w:val="24"/>
          <w:lang w:eastAsia="zh-CN"/>
        </w:rPr>
      </w:pPr>
      <w:r w:rsidRPr="003E74C0">
        <w:rPr>
          <w:rFonts w:asciiTheme="minorHAnsi" w:eastAsia="SimSun" w:hAnsiTheme="minorHAnsi" w:cstheme="minorHAnsi"/>
          <w:b/>
          <w:bCs/>
          <w:sz w:val="24"/>
          <w:szCs w:val="24"/>
          <w:lang w:eastAsia="zh-CN"/>
        </w:rPr>
        <w:t xml:space="preserve">Required Efficiency by Size </w:t>
      </w:r>
    </w:p>
    <w:p w14:paraId="49C7019C" w14:textId="77777777" w:rsidR="00AF761E" w:rsidRPr="003E74C0" w:rsidRDefault="00AF761E" w:rsidP="00AF761E">
      <w:pPr>
        <w:widowControl w:val="0"/>
        <w:autoSpaceDE w:val="0"/>
        <w:autoSpaceDN w:val="0"/>
        <w:adjustRightInd w:val="0"/>
        <w:spacing w:after="240" w:line="253" w:lineRule="atLeast"/>
        <w:jc w:val="center"/>
        <w:rPr>
          <w:rFonts w:asciiTheme="minorHAnsi" w:eastAsia="SimSun" w:hAnsiTheme="minorHAnsi" w:cstheme="minorHAnsi"/>
          <w:sz w:val="24"/>
          <w:szCs w:val="24"/>
          <w:lang w:eastAsia="zh-CN"/>
        </w:rPr>
      </w:pPr>
      <w:r w:rsidRPr="003E74C0">
        <w:rPr>
          <w:rFonts w:asciiTheme="minorHAnsi" w:eastAsia="SimSun" w:hAnsiTheme="minorHAnsi" w:cstheme="minorHAnsi"/>
          <w:noProof/>
          <w:color w:val="000000"/>
          <w:sz w:val="24"/>
          <w:szCs w:val="24"/>
        </w:rPr>
        <mc:AlternateContent>
          <mc:Choice Requires="wps">
            <w:drawing>
              <wp:inline distT="0" distB="0" distL="0" distR="0" wp14:anchorId="351D2D7B" wp14:editId="3B669C0E">
                <wp:extent cx="3400425" cy="6350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140"/>
                              <w:gridCol w:w="2662"/>
                            </w:tblGrid>
                            <w:tr w:rsidR="00236998" w14:paraId="01649EC9" w14:textId="77777777">
                              <w:trPr>
                                <w:trHeight w:val="126"/>
                              </w:trPr>
                              <w:tc>
                                <w:tcPr>
                                  <w:tcW w:w="2140" w:type="dxa"/>
                                  <w:tcBorders>
                                    <w:top w:val="single" w:sz="6" w:space="0" w:color="0E0E0E"/>
                                    <w:left w:val="single" w:sz="4" w:space="0" w:color="000000"/>
                                    <w:bottom w:val="single" w:sz="4" w:space="0" w:color="0E0E0E"/>
                                    <w:right w:val="single" w:sz="4" w:space="0" w:color="080808"/>
                                  </w:tcBorders>
                                  <w:shd w:val="clear" w:color="auto" w:fill="9A9A9A"/>
                                  <w:vAlign w:val="center"/>
                                </w:tcPr>
                                <w:p w14:paraId="201B15EC"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b/>
                                      <w:bCs/>
                                      <w:sz w:val="20"/>
                                      <w:szCs w:val="20"/>
                                    </w:rPr>
                                    <w:t>Input Rating</w:t>
                                  </w:r>
                                </w:p>
                              </w:tc>
                              <w:tc>
                                <w:tcPr>
                                  <w:tcW w:w="2662" w:type="dxa"/>
                                  <w:tcBorders>
                                    <w:top w:val="single" w:sz="6" w:space="0" w:color="0E0E0E"/>
                                    <w:left w:val="single" w:sz="4" w:space="0" w:color="080808"/>
                                    <w:bottom w:val="single" w:sz="4" w:space="0" w:color="0E0E0E"/>
                                    <w:right w:val="single" w:sz="6" w:space="0" w:color="080808"/>
                                  </w:tcBorders>
                                  <w:shd w:val="clear" w:color="auto" w:fill="9A9A9A"/>
                                  <w:vAlign w:val="center"/>
                                </w:tcPr>
                                <w:p w14:paraId="4A24D0A1"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b/>
                                      <w:bCs/>
                                      <w:sz w:val="20"/>
                                      <w:szCs w:val="20"/>
                                    </w:rPr>
                                    <w:t>Required Efficiency</w:t>
                                  </w:r>
                                </w:p>
                              </w:tc>
                            </w:tr>
                            <w:tr w:rsidR="00236998" w14:paraId="60D32219" w14:textId="77777777">
                              <w:trPr>
                                <w:trHeight w:val="120"/>
                              </w:trPr>
                              <w:tc>
                                <w:tcPr>
                                  <w:tcW w:w="2140" w:type="dxa"/>
                                  <w:tcBorders>
                                    <w:top w:val="single" w:sz="4" w:space="0" w:color="0E0E0E"/>
                                    <w:left w:val="single" w:sz="4" w:space="0" w:color="000000"/>
                                    <w:bottom w:val="single" w:sz="4" w:space="0" w:color="000000"/>
                                    <w:right w:val="single" w:sz="4" w:space="0" w:color="080808"/>
                                  </w:tcBorders>
                                  <w:vAlign w:val="center"/>
                                </w:tcPr>
                                <w:p w14:paraId="0C2C46E3"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&lt;= 75,000 Btuh</w:t>
                                  </w:r>
                                </w:p>
                              </w:tc>
                              <w:tc>
                                <w:tcPr>
                                  <w:tcW w:w="2662" w:type="dxa"/>
                                  <w:tcBorders>
                                    <w:top w:val="single" w:sz="4" w:space="0" w:color="0E0E0E"/>
                                    <w:left w:val="single" w:sz="4" w:space="0" w:color="080808"/>
                                    <w:bottom w:val="single" w:sz="4" w:space="0" w:color="000000"/>
                                    <w:right w:val="single" w:sz="6" w:space="0" w:color="080808"/>
                                  </w:tcBorders>
                                  <w:vAlign w:val="center"/>
                                </w:tcPr>
                                <w:p w14:paraId="19A818FB"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Energy Factor &gt;= 0.67</w:t>
                                  </w:r>
                                </w:p>
                              </w:tc>
                            </w:tr>
                            <w:tr w:rsidR="00236998" w14:paraId="480E5BCE" w14:textId="77777777">
                              <w:trPr>
                                <w:trHeight w:val="121"/>
                              </w:trPr>
                              <w:tc>
                                <w:tcPr>
                                  <w:tcW w:w="2140" w:type="dxa"/>
                                  <w:tcBorders>
                                    <w:top w:val="single" w:sz="4" w:space="0" w:color="000000"/>
                                    <w:left w:val="single" w:sz="4" w:space="0" w:color="000000"/>
                                    <w:bottom w:val="single" w:sz="6" w:space="0" w:color="000000"/>
                                    <w:right w:val="single" w:sz="4" w:space="0" w:color="080808"/>
                                  </w:tcBorders>
                                  <w:vAlign w:val="center"/>
                                </w:tcPr>
                                <w:p w14:paraId="1ECFF12A"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&gt; 75,000 Btuh</w:t>
                                  </w:r>
                                </w:p>
                              </w:tc>
                              <w:tc>
                                <w:tcPr>
                                  <w:tcW w:w="2662" w:type="dxa"/>
                                  <w:tcBorders>
                                    <w:top w:val="single" w:sz="4" w:space="0" w:color="000000"/>
                                    <w:left w:val="single" w:sz="4" w:space="0" w:color="080808"/>
                                    <w:bottom w:val="single" w:sz="6" w:space="0" w:color="000000"/>
                                    <w:right w:val="single" w:sz="6" w:space="0" w:color="080808"/>
                                  </w:tcBorders>
                                  <w:vAlign w:val="center"/>
                                </w:tcPr>
                                <w:p w14:paraId="2A638C69"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Thermal Efficiency &gt;= 90%</w:t>
                                  </w:r>
                                </w:p>
                              </w:tc>
                            </w:tr>
                          </w:tbl>
                          <w:p w14:paraId="69E4C87F" w14:textId="77777777" w:rsidR="00236998" w:rsidRDefault="00236998" w:rsidP="00AF761E">
                            <w:pPr>
                              <w:jc w:val="right"/>
                            </w:pPr>
                          </w:p>
                        </w:txbxContent>
                      </wps:txbx>
                      <wps:bodyPr rot="0" vert="horz" wrap="square" lIns="91440" tIns="45720" rIns="91440" bIns="45720" anchor="t" anchorCtr="0" upright="1">
                        <a:noAutofit/>
                      </wps:bodyPr>
                    </wps:wsp>
                  </a:graphicData>
                </a:graphic>
              </wp:inline>
            </w:drawing>
          </mc:Choice>
          <mc:Fallback>
            <w:pict>
              <v:shape w14:anchorId="351D2D7B" id="Text Box 1" o:spid="_x0000_s1027" type="#_x0000_t202" style="width:267.75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140"/>
                        <w:gridCol w:w="2662"/>
                      </w:tblGrid>
                      <w:tr w:rsidR="00236998" w14:paraId="01649EC9" w14:textId="77777777">
                        <w:trPr>
                          <w:trHeight w:val="126"/>
                        </w:trPr>
                        <w:tc>
                          <w:tcPr>
                            <w:tcW w:w="2140" w:type="dxa"/>
                            <w:tcBorders>
                              <w:top w:val="single" w:sz="6" w:space="0" w:color="0E0E0E"/>
                              <w:left w:val="single" w:sz="4" w:space="0" w:color="000000"/>
                              <w:bottom w:val="single" w:sz="4" w:space="0" w:color="0E0E0E"/>
                              <w:right w:val="single" w:sz="4" w:space="0" w:color="080808"/>
                            </w:tcBorders>
                            <w:shd w:val="clear" w:color="auto" w:fill="9A9A9A"/>
                            <w:vAlign w:val="center"/>
                          </w:tcPr>
                          <w:p w14:paraId="201B15EC"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b/>
                                <w:bCs/>
                                <w:sz w:val="20"/>
                                <w:szCs w:val="20"/>
                              </w:rPr>
                              <w:t>Input Rating</w:t>
                            </w:r>
                          </w:p>
                        </w:tc>
                        <w:tc>
                          <w:tcPr>
                            <w:tcW w:w="2662" w:type="dxa"/>
                            <w:tcBorders>
                              <w:top w:val="single" w:sz="6" w:space="0" w:color="0E0E0E"/>
                              <w:left w:val="single" w:sz="4" w:space="0" w:color="080808"/>
                              <w:bottom w:val="single" w:sz="4" w:space="0" w:color="0E0E0E"/>
                              <w:right w:val="single" w:sz="6" w:space="0" w:color="080808"/>
                            </w:tcBorders>
                            <w:shd w:val="clear" w:color="auto" w:fill="9A9A9A"/>
                            <w:vAlign w:val="center"/>
                          </w:tcPr>
                          <w:p w14:paraId="4A24D0A1"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b/>
                                <w:bCs/>
                                <w:sz w:val="20"/>
                                <w:szCs w:val="20"/>
                              </w:rPr>
                              <w:t>Required Efficiency</w:t>
                            </w:r>
                          </w:p>
                        </w:tc>
                      </w:tr>
                      <w:tr w:rsidR="00236998" w14:paraId="60D32219" w14:textId="77777777">
                        <w:trPr>
                          <w:trHeight w:val="120"/>
                        </w:trPr>
                        <w:tc>
                          <w:tcPr>
                            <w:tcW w:w="2140" w:type="dxa"/>
                            <w:tcBorders>
                              <w:top w:val="single" w:sz="4" w:space="0" w:color="0E0E0E"/>
                              <w:left w:val="single" w:sz="4" w:space="0" w:color="000000"/>
                              <w:bottom w:val="single" w:sz="4" w:space="0" w:color="000000"/>
                              <w:right w:val="single" w:sz="4" w:space="0" w:color="080808"/>
                            </w:tcBorders>
                            <w:vAlign w:val="center"/>
                          </w:tcPr>
                          <w:p w14:paraId="0C2C46E3"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&lt;= 75,000 Btuh</w:t>
                            </w:r>
                          </w:p>
                        </w:tc>
                        <w:tc>
                          <w:tcPr>
                            <w:tcW w:w="2662" w:type="dxa"/>
                            <w:tcBorders>
                              <w:top w:val="single" w:sz="4" w:space="0" w:color="0E0E0E"/>
                              <w:left w:val="single" w:sz="4" w:space="0" w:color="080808"/>
                              <w:bottom w:val="single" w:sz="4" w:space="0" w:color="000000"/>
                              <w:right w:val="single" w:sz="6" w:space="0" w:color="080808"/>
                            </w:tcBorders>
                            <w:vAlign w:val="center"/>
                          </w:tcPr>
                          <w:p w14:paraId="19A818FB"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Energy Factor &gt;= 0.67</w:t>
                            </w:r>
                          </w:p>
                        </w:tc>
                      </w:tr>
                      <w:tr w:rsidR="00236998" w14:paraId="480E5BCE" w14:textId="77777777">
                        <w:trPr>
                          <w:trHeight w:val="121"/>
                        </w:trPr>
                        <w:tc>
                          <w:tcPr>
                            <w:tcW w:w="2140" w:type="dxa"/>
                            <w:tcBorders>
                              <w:top w:val="single" w:sz="4" w:space="0" w:color="000000"/>
                              <w:left w:val="single" w:sz="4" w:space="0" w:color="000000"/>
                              <w:bottom w:val="single" w:sz="6" w:space="0" w:color="000000"/>
                              <w:right w:val="single" w:sz="4" w:space="0" w:color="080808"/>
                            </w:tcBorders>
                            <w:vAlign w:val="center"/>
                          </w:tcPr>
                          <w:p w14:paraId="1ECFF12A"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&gt; 75,000 Btuh</w:t>
                            </w:r>
                          </w:p>
                        </w:tc>
                        <w:tc>
                          <w:tcPr>
                            <w:tcW w:w="2662" w:type="dxa"/>
                            <w:tcBorders>
                              <w:top w:val="single" w:sz="4" w:space="0" w:color="000000"/>
                              <w:left w:val="single" w:sz="4" w:space="0" w:color="080808"/>
                              <w:bottom w:val="single" w:sz="6" w:space="0" w:color="000000"/>
                              <w:right w:val="single" w:sz="6" w:space="0" w:color="080808"/>
                            </w:tcBorders>
                            <w:vAlign w:val="center"/>
                          </w:tcPr>
                          <w:p w14:paraId="2A638C69" w14:textId="77777777" w:rsidR="00236998" w:rsidRPr="003E74C0" w:rsidRDefault="00236998" w:rsidP="00AF761E">
                            <w:pPr>
                              <w:pStyle w:val="Default"/>
                              <w:jc w:val="right"/>
                              <w:rPr>
                                <w:rFonts w:asciiTheme="minorHAnsi" w:hAnsiTheme="minorHAnsi" w:cstheme="minorHAnsi"/>
                                <w:sz w:val="20"/>
                                <w:szCs w:val="20"/>
                              </w:rPr>
                            </w:pPr>
                            <w:r w:rsidRPr="003E74C0">
                              <w:rPr>
                                <w:rFonts w:asciiTheme="minorHAnsi" w:hAnsiTheme="minorHAnsi" w:cstheme="minorHAnsi"/>
                                <w:sz w:val="20"/>
                                <w:szCs w:val="20"/>
                              </w:rPr>
                              <w:t>Thermal Efficiency &gt;= 90%</w:t>
                            </w:r>
                          </w:p>
                        </w:tc>
                      </w:tr>
                    </w:tbl>
                    <w:p w14:paraId="69E4C87F" w14:textId="77777777" w:rsidR="00236998" w:rsidRDefault="00236998" w:rsidP="00AF761E">
                      <w:pPr>
                        <w:jc w:val="right"/>
                      </w:pPr>
                    </w:p>
                  </w:txbxContent>
                </v:textbox>
                <w10:anchorlock/>
              </v:shape>
            </w:pict>
          </mc:Fallback>
        </mc:AlternateContent>
      </w:r>
    </w:p>
    <w:p w14:paraId="72959E54" w14:textId="77777777" w:rsidR="00AF761E" w:rsidRPr="003E74C0" w:rsidRDefault="00AF761E" w:rsidP="00AF761E">
      <w:pPr>
        <w:widowControl w:val="0"/>
        <w:autoSpaceDE w:val="0"/>
        <w:autoSpaceDN w:val="0"/>
        <w:adjustRightInd w:val="0"/>
        <w:spacing w:after="240" w:line="253" w:lineRule="atLeast"/>
        <w:jc w:val="left"/>
        <w:rPr>
          <w:rFonts w:asciiTheme="minorHAnsi" w:eastAsia="SimSun" w:hAnsiTheme="minorHAnsi" w:cstheme="minorHAnsi"/>
          <w:b/>
          <w:bCs/>
          <w:sz w:val="24"/>
          <w:szCs w:val="24"/>
          <w:u w:val="single"/>
          <w:lang w:eastAsia="zh-CN"/>
        </w:rPr>
      </w:pPr>
      <w:r w:rsidRPr="003E74C0">
        <w:rPr>
          <w:rFonts w:asciiTheme="minorHAnsi" w:eastAsia="SimSun" w:hAnsiTheme="minorHAnsi" w:cstheme="minorHAnsi"/>
          <w:b/>
          <w:bCs/>
          <w:sz w:val="24"/>
          <w:szCs w:val="24"/>
          <w:u w:val="single"/>
          <w:lang w:eastAsia="zh-CN"/>
        </w:rPr>
        <w:t xml:space="preserve">High Efficiency Commercial Kitchen Griddles </w:t>
      </w:r>
    </w:p>
    <w:p w14:paraId="70E7E27E" w14:textId="77777777" w:rsidR="00AF761E" w:rsidRPr="003E74C0" w:rsidRDefault="00AF761E" w:rsidP="00AF761E">
      <w:pPr>
        <w:widowControl w:val="0"/>
        <w:autoSpaceDE w:val="0"/>
        <w:autoSpaceDN w:val="0"/>
        <w:adjustRightInd w:val="0"/>
        <w:spacing w:after="240" w:line="253" w:lineRule="atLeast"/>
        <w:ind w:right="467"/>
        <w:jc w:val="left"/>
        <w:rPr>
          <w:rFonts w:asciiTheme="minorHAnsi" w:eastAsia="SimSun" w:hAnsiTheme="minorHAnsi" w:cstheme="minorHAnsi"/>
          <w:sz w:val="24"/>
          <w:szCs w:val="24"/>
          <w:lang w:eastAsia="zh-CN"/>
        </w:rPr>
      </w:pPr>
      <w:r w:rsidRPr="003E74C0">
        <w:rPr>
          <w:rFonts w:asciiTheme="minorHAnsi" w:eastAsia="SimSun" w:hAnsiTheme="minorHAnsi" w:cstheme="minorHAnsi"/>
          <w:sz w:val="24"/>
          <w:szCs w:val="24"/>
          <w:lang w:eastAsia="zh-CN"/>
        </w:rPr>
        <w:t>Qualifying griddles must be thermostatically controlled and must have an efficiency level of 45% or greater.</w:t>
      </w:r>
    </w:p>
    <w:p w14:paraId="0AE8DDDC"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20" w:name="_Toc511029303"/>
      <w:bookmarkStart w:id="21" w:name="_Toc511996619"/>
      <w:r w:rsidRPr="00CA2715">
        <w:rPr>
          <w:rFonts w:asciiTheme="minorHAnsi" w:hAnsiTheme="minorHAnsi" w:cstheme="minorHAnsi"/>
        </w:rPr>
        <w:t>Effective Program Dates</w:t>
      </w:r>
      <w:bookmarkEnd w:id="20"/>
      <w:bookmarkEnd w:id="21"/>
      <w:r w:rsidRPr="00CA2715">
        <w:rPr>
          <w:rFonts w:asciiTheme="minorHAnsi" w:hAnsiTheme="minorHAnsi" w:cstheme="minorHAnsi"/>
        </w:rPr>
        <w:t xml:space="preserve"> </w:t>
      </w:r>
    </w:p>
    <w:p w14:paraId="2293EB8F" w14:textId="77777777" w:rsidR="0056447B" w:rsidRPr="003E74C0" w:rsidRDefault="00ED3C9E" w:rsidP="0056447B">
      <w:pPr>
        <w:jc w:val="left"/>
        <w:rPr>
          <w:rFonts w:asciiTheme="minorHAnsi" w:hAnsiTheme="minorHAnsi" w:cstheme="minorHAnsi"/>
          <w:sz w:val="24"/>
        </w:rPr>
      </w:pPr>
      <w:r>
        <w:rPr>
          <w:rFonts w:asciiTheme="minorHAnsi" w:hAnsiTheme="minorHAnsi" w:cstheme="minorHAnsi"/>
          <w:sz w:val="24"/>
        </w:rPr>
        <w:t xml:space="preserve">The </w:t>
      </w:r>
      <w:r w:rsidR="0056447B" w:rsidRPr="003E74C0">
        <w:rPr>
          <w:rFonts w:asciiTheme="minorHAnsi" w:hAnsiTheme="minorHAnsi" w:cstheme="minorHAnsi"/>
          <w:sz w:val="24"/>
        </w:rPr>
        <w:t>Commercial Energy Solutions</w:t>
      </w:r>
      <w:r w:rsidR="00AF761E" w:rsidRPr="003E74C0">
        <w:rPr>
          <w:rFonts w:asciiTheme="minorHAnsi" w:hAnsiTheme="minorHAnsi" w:cstheme="minorHAnsi"/>
          <w:sz w:val="24"/>
        </w:rPr>
        <w:t xml:space="preserve"> gas</w:t>
      </w:r>
      <w:r w:rsidR="0056447B" w:rsidRPr="003E74C0">
        <w:rPr>
          <w:rFonts w:asciiTheme="minorHAnsi" w:hAnsiTheme="minorHAnsi" w:cstheme="minorHAnsi"/>
          <w:sz w:val="24"/>
        </w:rPr>
        <w:t xml:space="preserve"> </w:t>
      </w:r>
      <w:r w:rsidR="00FC3A72" w:rsidRPr="003E74C0">
        <w:rPr>
          <w:rFonts w:asciiTheme="minorHAnsi" w:hAnsiTheme="minorHAnsi" w:cstheme="minorHAnsi"/>
          <w:sz w:val="24"/>
        </w:rPr>
        <w:t>p</w:t>
      </w:r>
      <w:r w:rsidR="00AF761E" w:rsidRPr="003E74C0">
        <w:rPr>
          <w:rFonts w:asciiTheme="minorHAnsi" w:hAnsiTheme="minorHAnsi" w:cstheme="minorHAnsi"/>
          <w:sz w:val="24"/>
        </w:rPr>
        <w:t>rogram</w:t>
      </w:r>
      <w:r w:rsidR="0056447B" w:rsidRPr="003E74C0">
        <w:rPr>
          <w:rFonts w:asciiTheme="minorHAnsi" w:hAnsiTheme="minorHAnsi" w:cstheme="minorHAnsi"/>
          <w:sz w:val="24"/>
        </w:rPr>
        <w:t xml:space="preserve"> </w:t>
      </w:r>
      <w:r w:rsidR="00AF761E" w:rsidRPr="003E74C0">
        <w:rPr>
          <w:rFonts w:asciiTheme="minorHAnsi" w:hAnsiTheme="minorHAnsi" w:cstheme="minorHAnsi"/>
          <w:sz w:val="24"/>
        </w:rPr>
        <w:t>is</w:t>
      </w:r>
      <w:r w:rsidR="0056447B" w:rsidRPr="003E74C0">
        <w:rPr>
          <w:rFonts w:asciiTheme="minorHAnsi" w:hAnsiTheme="minorHAnsi" w:cstheme="minorHAnsi"/>
          <w:sz w:val="24"/>
        </w:rPr>
        <w:t xml:space="preserve"> offered on a </w:t>
      </w:r>
      <w:r w:rsidR="0056447B" w:rsidRPr="003E74C0">
        <w:rPr>
          <w:rFonts w:asciiTheme="minorHAnsi" w:hAnsiTheme="minorHAnsi" w:cstheme="minorHAnsi"/>
          <w:b/>
          <w:bCs/>
          <w:sz w:val="24"/>
        </w:rPr>
        <w:t xml:space="preserve">first-come, first-served </w:t>
      </w:r>
      <w:r w:rsidR="0056447B" w:rsidRPr="003E74C0">
        <w:rPr>
          <w:rFonts w:asciiTheme="minorHAnsi" w:hAnsiTheme="minorHAnsi" w:cstheme="minorHAnsi"/>
          <w:sz w:val="24"/>
        </w:rPr>
        <w:t xml:space="preserve">basis until </w:t>
      </w:r>
      <w:r w:rsidR="00A929AF" w:rsidRPr="003E74C0">
        <w:rPr>
          <w:rFonts w:asciiTheme="minorHAnsi" w:hAnsiTheme="minorHAnsi" w:cstheme="minorHAnsi"/>
          <w:sz w:val="24"/>
        </w:rPr>
        <w:t>program funds are fully committed and/or the program budget is depleted</w:t>
      </w:r>
      <w:r w:rsidR="00612A2F">
        <w:rPr>
          <w:rFonts w:asciiTheme="minorHAnsi" w:hAnsiTheme="minorHAnsi" w:cstheme="minorHAnsi"/>
          <w:sz w:val="24"/>
        </w:rPr>
        <w:t xml:space="preserve"> for the current program year</w:t>
      </w:r>
      <w:r w:rsidR="00A929AF" w:rsidRPr="003E74C0">
        <w:rPr>
          <w:rFonts w:asciiTheme="minorHAnsi" w:hAnsiTheme="minorHAnsi" w:cstheme="minorHAnsi"/>
          <w:sz w:val="24"/>
        </w:rPr>
        <w:t xml:space="preserve">. </w:t>
      </w:r>
    </w:p>
    <w:p w14:paraId="1FC08DFD" w14:textId="77777777" w:rsidR="00E47D9E" w:rsidRPr="003E74C0" w:rsidRDefault="00E47D9E" w:rsidP="00E47D9E">
      <w:pPr>
        <w:pStyle w:val="Default"/>
        <w:numPr>
          <w:ilvl w:val="0"/>
          <w:numId w:val="16"/>
        </w:numPr>
        <w:autoSpaceDE/>
        <w:adjustRightInd/>
        <w:spacing w:line="290" w:lineRule="atLeast"/>
        <w:rPr>
          <w:rFonts w:asciiTheme="minorHAnsi" w:hAnsiTheme="minorHAnsi" w:cstheme="minorHAnsi"/>
          <w:color w:val="auto"/>
          <w:szCs w:val="22"/>
          <w:lang w:bidi="he-IL"/>
        </w:rPr>
      </w:pPr>
      <w:r w:rsidRPr="003E74C0">
        <w:rPr>
          <w:rFonts w:asciiTheme="minorHAnsi" w:hAnsiTheme="minorHAnsi" w:cstheme="minorHAnsi"/>
          <w:color w:val="auto"/>
          <w:szCs w:val="22"/>
          <w:lang w:bidi="he-IL"/>
        </w:rPr>
        <w:t xml:space="preserve">The completion of a </w:t>
      </w:r>
      <w:r w:rsidR="00A929AF" w:rsidRPr="003E74C0">
        <w:rPr>
          <w:rFonts w:asciiTheme="minorHAnsi" w:hAnsiTheme="minorHAnsi" w:cstheme="minorHAnsi"/>
          <w:color w:val="auto"/>
          <w:szCs w:val="22"/>
          <w:lang w:bidi="he-IL"/>
        </w:rPr>
        <w:t xml:space="preserve">Pre-Notification Application </w:t>
      </w:r>
      <w:r w:rsidRPr="003E74C0">
        <w:rPr>
          <w:rFonts w:asciiTheme="minorHAnsi" w:hAnsiTheme="minorHAnsi" w:cstheme="minorHAnsi"/>
          <w:color w:val="auto"/>
          <w:szCs w:val="22"/>
          <w:lang w:bidi="he-IL"/>
        </w:rPr>
        <w:t xml:space="preserve">is </w:t>
      </w:r>
      <w:r w:rsidRPr="003E74C0">
        <w:rPr>
          <w:rFonts w:asciiTheme="minorHAnsi" w:hAnsiTheme="minorHAnsi" w:cstheme="minorHAnsi"/>
          <w:b/>
          <w:color w:val="auto"/>
          <w:szCs w:val="22"/>
          <w:lang w:bidi="he-IL"/>
        </w:rPr>
        <w:t xml:space="preserve">required </w:t>
      </w:r>
      <w:r w:rsidRPr="003E74C0">
        <w:rPr>
          <w:rFonts w:asciiTheme="minorHAnsi" w:hAnsiTheme="minorHAnsi" w:cstheme="minorHAnsi"/>
          <w:color w:val="auto"/>
          <w:szCs w:val="22"/>
          <w:lang w:bidi="he-IL"/>
        </w:rPr>
        <w:t>for all projects.</w:t>
      </w:r>
      <w:r w:rsidR="0056447B" w:rsidRPr="003E74C0">
        <w:rPr>
          <w:rFonts w:asciiTheme="minorHAnsi" w:hAnsiTheme="minorHAnsi" w:cstheme="minorHAnsi"/>
          <w:color w:val="auto"/>
          <w:szCs w:val="22"/>
          <w:lang w:bidi="he-IL"/>
        </w:rPr>
        <w:t xml:space="preserve"> </w:t>
      </w:r>
      <w:r w:rsidRPr="003E74C0">
        <w:rPr>
          <w:rFonts w:asciiTheme="minorHAnsi" w:hAnsiTheme="minorHAnsi" w:cstheme="minorHAnsi"/>
          <w:color w:val="auto"/>
          <w:szCs w:val="22"/>
          <w:lang w:bidi="he-IL"/>
        </w:rPr>
        <w:t xml:space="preserve">Applicants must not begin project work until they have been notified that funds have been reserved. </w:t>
      </w:r>
    </w:p>
    <w:p w14:paraId="3913EFDD" w14:textId="77777777" w:rsidR="0056447B" w:rsidRPr="003E74C0" w:rsidRDefault="0056447B" w:rsidP="0056447B">
      <w:pPr>
        <w:pStyle w:val="Default"/>
        <w:numPr>
          <w:ilvl w:val="0"/>
          <w:numId w:val="16"/>
        </w:numPr>
        <w:autoSpaceDE/>
        <w:adjustRightInd/>
        <w:spacing w:line="290" w:lineRule="atLeast"/>
        <w:rPr>
          <w:rFonts w:asciiTheme="minorHAnsi" w:hAnsiTheme="minorHAnsi" w:cstheme="minorHAnsi"/>
          <w:color w:val="auto"/>
          <w:szCs w:val="22"/>
          <w:lang w:bidi="he-IL"/>
        </w:rPr>
      </w:pPr>
      <w:r w:rsidRPr="003E74C0">
        <w:rPr>
          <w:rFonts w:asciiTheme="minorHAnsi" w:hAnsiTheme="minorHAnsi" w:cstheme="minorHAnsi"/>
          <w:color w:val="auto"/>
          <w:szCs w:val="22"/>
          <w:lang w:bidi="he-IL"/>
        </w:rPr>
        <w:lastRenderedPageBreak/>
        <w:t>All applications will be reviewed against the program rules in place at the time the application is submitted.</w:t>
      </w:r>
    </w:p>
    <w:p w14:paraId="4CE5B9AA" w14:textId="77777777" w:rsidR="0056447B" w:rsidRPr="003E74C0" w:rsidRDefault="00D54A2E" w:rsidP="00CA2715">
      <w:pPr>
        <w:pStyle w:val="Default"/>
        <w:numPr>
          <w:ilvl w:val="0"/>
          <w:numId w:val="16"/>
        </w:numPr>
        <w:autoSpaceDE/>
        <w:adjustRightInd/>
        <w:spacing w:line="290" w:lineRule="atLeast"/>
        <w:rPr>
          <w:rFonts w:asciiTheme="minorHAnsi" w:hAnsiTheme="minorHAnsi" w:cstheme="minorHAnsi"/>
          <w:color w:val="auto"/>
          <w:szCs w:val="22"/>
          <w:lang w:bidi="he-IL"/>
        </w:rPr>
      </w:pPr>
      <w:r w:rsidRPr="003E74C0">
        <w:rPr>
          <w:rFonts w:asciiTheme="minorHAnsi" w:hAnsiTheme="minorHAnsi" w:cstheme="minorHAnsi"/>
          <w:color w:val="auto"/>
          <w:szCs w:val="22"/>
          <w:lang w:bidi="he-IL"/>
        </w:rPr>
        <w:t>Final Application</w:t>
      </w:r>
      <w:r w:rsidR="0056447B" w:rsidRPr="003E74C0">
        <w:rPr>
          <w:rFonts w:asciiTheme="minorHAnsi" w:hAnsiTheme="minorHAnsi" w:cstheme="minorHAnsi"/>
          <w:color w:val="auto"/>
          <w:szCs w:val="22"/>
          <w:lang w:bidi="he-IL"/>
        </w:rPr>
        <w:t xml:space="preserve">s </w:t>
      </w:r>
      <w:r w:rsidR="0056447B" w:rsidRPr="003E74C0">
        <w:rPr>
          <w:rFonts w:asciiTheme="minorHAnsi" w:hAnsiTheme="minorHAnsi" w:cstheme="minorHAnsi"/>
          <w:b/>
          <w:color w:val="auto"/>
          <w:szCs w:val="22"/>
          <w:lang w:bidi="he-IL"/>
        </w:rPr>
        <w:t>must be submitted</w:t>
      </w:r>
      <w:r w:rsidR="0056447B" w:rsidRPr="003E74C0">
        <w:rPr>
          <w:rFonts w:asciiTheme="minorHAnsi" w:hAnsiTheme="minorHAnsi" w:cstheme="minorHAnsi"/>
          <w:color w:val="auto"/>
          <w:szCs w:val="22"/>
          <w:lang w:bidi="he-IL"/>
        </w:rPr>
        <w:t xml:space="preserve"> within 60 days after project completion, the reservation end date</w:t>
      </w:r>
      <w:r w:rsidR="00E47D9E" w:rsidRPr="003E74C0">
        <w:rPr>
          <w:rFonts w:asciiTheme="minorHAnsi" w:hAnsiTheme="minorHAnsi" w:cstheme="minorHAnsi"/>
          <w:color w:val="auto"/>
          <w:szCs w:val="22"/>
          <w:lang w:bidi="he-IL"/>
        </w:rPr>
        <w:t xml:space="preserve"> </w:t>
      </w:r>
      <w:r w:rsidR="0056447B" w:rsidRPr="003E74C0">
        <w:rPr>
          <w:rFonts w:asciiTheme="minorHAnsi" w:hAnsiTheme="minorHAnsi" w:cstheme="minorHAnsi"/>
          <w:color w:val="auto"/>
          <w:szCs w:val="22"/>
          <w:lang w:bidi="he-IL"/>
        </w:rPr>
        <w:t>or by November 15 of the program year, whichever comes first</w:t>
      </w:r>
      <w:r w:rsidR="00E47D9E" w:rsidRPr="003E74C0">
        <w:rPr>
          <w:rFonts w:asciiTheme="minorHAnsi" w:hAnsiTheme="minorHAnsi" w:cstheme="minorHAnsi"/>
          <w:color w:val="auto"/>
          <w:szCs w:val="22"/>
          <w:lang w:bidi="he-IL"/>
        </w:rPr>
        <w:t xml:space="preserve">. Rebates will be paid in the same calendar year. </w:t>
      </w:r>
      <w:r w:rsidR="00E47D9E" w:rsidRPr="003E74C0" w:rsidDel="00C47232">
        <w:rPr>
          <w:rFonts w:asciiTheme="minorHAnsi" w:hAnsiTheme="minorHAnsi" w:cstheme="minorHAnsi"/>
          <w:color w:val="auto"/>
          <w:szCs w:val="22"/>
          <w:lang w:bidi="he-IL"/>
        </w:rPr>
        <w:t xml:space="preserve"> </w:t>
      </w:r>
    </w:p>
    <w:p w14:paraId="24109A6F" w14:textId="77777777" w:rsidR="0056447B" w:rsidRPr="00CA2715" w:rsidRDefault="0056447B" w:rsidP="0056447B">
      <w:pPr>
        <w:pStyle w:val="Heading1"/>
        <w:numPr>
          <w:ilvl w:val="0"/>
          <w:numId w:val="3"/>
        </w:numPr>
        <w:spacing w:before="120" w:after="120"/>
        <w:rPr>
          <w:rFonts w:asciiTheme="minorHAnsi" w:hAnsiTheme="minorHAnsi" w:cstheme="minorHAnsi"/>
        </w:rPr>
      </w:pPr>
      <w:bookmarkStart w:id="22" w:name="_Toc511029304"/>
      <w:bookmarkStart w:id="23" w:name="_Toc511996620"/>
      <w:r w:rsidRPr="00CA2715">
        <w:rPr>
          <w:rFonts w:asciiTheme="minorHAnsi" w:hAnsiTheme="minorHAnsi" w:cstheme="minorHAnsi"/>
        </w:rPr>
        <w:t>Definition of Application Types</w:t>
      </w:r>
      <w:bookmarkEnd w:id="22"/>
      <w:bookmarkEnd w:id="23"/>
    </w:p>
    <w:p w14:paraId="2C01487A" w14:textId="77777777" w:rsidR="0056447B"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A single </w:t>
      </w:r>
      <w:r w:rsidR="00D54A2E" w:rsidRPr="003E74C0">
        <w:rPr>
          <w:rFonts w:asciiTheme="minorHAnsi" w:hAnsiTheme="minorHAnsi" w:cstheme="minorHAnsi"/>
          <w:sz w:val="24"/>
          <w:szCs w:val="24"/>
        </w:rPr>
        <w:t>Application Form</w:t>
      </w:r>
      <w:r w:rsidRPr="003E74C0">
        <w:rPr>
          <w:rFonts w:asciiTheme="minorHAnsi" w:hAnsiTheme="minorHAnsi" w:cstheme="minorHAnsi"/>
          <w:sz w:val="24"/>
          <w:szCs w:val="24"/>
        </w:rPr>
        <w:t xml:space="preserve"> is utilized for both phases of the application process: </w:t>
      </w:r>
      <w:r w:rsidR="00A929AF" w:rsidRPr="003E74C0">
        <w:rPr>
          <w:rFonts w:asciiTheme="minorHAnsi" w:hAnsiTheme="minorHAnsi" w:cstheme="minorHAnsi"/>
          <w:sz w:val="24"/>
          <w:szCs w:val="24"/>
        </w:rPr>
        <w:t>Pre</w:t>
      </w:r>
      <w:r w:rsidRPr="003E74C0">
        <w:rPr>
          <w:rFonts w:asciiTheme="minorHAnsi" w:hAnsiTheme="minorHAnsi" w:cstheme="minorHAnsi"/>
          <w:sz w:val="24"/>
          <w:szCs w:val="24"/>
        </w:rPr>
        <w:t>-</w:t>
      </w:r>
      <w:r w:rsidR="00A929AF" w:rsidRPr="003E74C0">
        <w:rPr>
          <w:rFonts w:asciiTheme="minorHAnsi" w:hAnsiTheme="minorHAnsi" w:cstheme="minorHAnsi"/>
          <w:sz w:val="24"/>
          <w:szCs w:val="24"/>
        </w:rPr>
        <w:t>Notification A</w:t>
      </w:r>
      <w:r w:rsidRPr="003E74C0">
        <w:rPr>
          <w:rFonts w:asciiTheme="minorHAnsi" w:hAnsiTheme="minorHAnsi" w:cstheme="minorHAnsi"/>
          <w:sz w:val="24"/>
          <w:szCs w:val="24"/>
        </w:rPr>
        <w:t xml:space="preserve">pplication and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While identical forms are used for both, there is a drop-down option on the Customer/Project Information form that indicate</w:t>
      </w:r>
      <w:r w:rsidR="00A929AF" w:rsidRPr="003E74C0">
        <w:rPr>
          <w:rFonts w:asciiTheme="minorHAnsi" w:hAnsiTheme="minorHAnsi" w:cstheme="minorHAnsi"/>
          <w:sz w:val="24"/>
          <w:szCs w:val="24"/>
        </w:rPr>
        <w:t>s</w:t>
      </w:r>
      <w:r w:rsidRPr="003E74C0">
        <w:rPr>
          <w:rFonts w:asciiTheme="minorHAnsi" w:hAnsiTheme="minorHAnsi" w:cstheme="minorHAnsi"/>
          <w:sz w:val="24"/>
          <w:szCs w:val="24"/>
        </w:rPr>
        <w:t xml:space="preserve"> </w:t>
      </w:r>
      <w:r w:rsidR="00A929AF" w:rsidRPr="003E74C0">
        <w:rPr>
          <w:rFonts w:asciiTheme="minorHAnsi" w:hAnsiTheme="minorHAnsi" w:cstheme="minorHAnsi"/>
          <w:sz w:val="24"/>
          <w:szCs w:val="24"/>
        </w:rPr>
        <w:t>each</w:t>
      </w:r>
      <w:r w:rsidRPr="003E74C0">
        <w:rPr>
          <w:rFonts w:asciiTheme="minorHAnsi" w:hAnsiTheme="minorHAnsi" w:cstheme="minorHAnsi"/>
          <w:sz w:val="24"/>
          <w:szCs w:val="24"/>
        </w:rPr>
        <w:t xml:space="preserve"> phase.</w:t>
      </w:r>
    </w:p>
    <w:p w14:paraId="484633FB" w14:textId="77777777" w:rsidR="0056447B" w:rsidRPr="003E74C0" w:rsidRDefault="0056447B" w:rsidP="0056447B">
      <w:pPr>
        <w:jc w:val="left"/>
        <w:rPr>
          <w:rFonts w:asciiTheme="minorHAnsi" w:hAnsiTheme="minorHAnsi" w:cstheme="minorHAnsi"/>
          <w:b/>
          <w:sz w:val="24"/>
          <w:szCs w:val="24"/>
        </w:rPr>
      </w:pPr>
      <w:r w:rsidRPr="003E74C0">
        <w:rPr>
          <w:rFonts w:asciiTheme="minorHAnsi" w:hAnsiTheme="minorHAnsi" w:cstheme="minorHAnsi"/>
          <w:b/>
          <w:sz w:val="24"/>
          <w:szCs w:val="24"/>
        </w:rPr>
        <w:t xml:space="preserve">   </w:t>
      </w:r>
      <w:r w:rsidRPr="003E74C0">
        <w:rPr>
          <w:rFonts w:asciiTheme="minorHAnsi" w:hAnsiTheme="minorHAnsi" w:cstheme="minorHAnsi"/>
          <w:b/>
          <w:sz w:val="24"/>
          <w:szCs w:val="24"/>
        </w:rPr>
        <w:tab/>
      </w:r>
    </w:p>
    <w:p w14:paraId="4844FED9" w14:textId="77777777" w:rsidR="0056447B" w:rsidRPr="003E74C0" w:rsidRDefault="0056447B" w:rsidP="0056447B">
      <w:pPr>
        <w:jc w:val="left"/>
        <w:rPr>
          <w:rFonts w:asciiTheme="minorHAnsi" w:hAnsiTheme="minorHAnsi" w:cstheme="minorHAnsi"/>
          <w:b/>
          <w:sz w:val="24"/>
          <w:szCs w:val="24"/>
        </w:rPr>
      </w:pPr>
      <w:r w:rsidRPr="003E74C0">
        <w:rPr>
          <w:rFonts w:asciiTheme="minorHAnsi" w:hAnsiTheme="minorHAnsi" w:cstheme="minorHAnsi"/>
          <w:b/>
          <w:sz w:val="24"/>
          <w:szCs w:val="24"/>
        </w:rPr>
        <w:t>Pre-Notification Application</w:t>
      </w:r>
    </w:p>
    <w:p w14:paraId="19F19C6E" w14:textId="77777777" w:rsidR="0056447B"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The </w:t>
      </w:r>
      <w:r w:rsidR="00A929AF" w:rsidRPr="003E74C0">
        <w:rPr>
          <w:rFonts w:asciiTheme="minorHAnsi" w:hAnsiTheme="minorHAnsi" w:cstheme="minorHAnsi"/>
          <w:sz w:val="24"/>
          <w:szCs w:val="24"/>
        </w:rPr>
        <w:t>P</w:t>
      </w:r>
      <w:r w:rsidRPr="003E74C0">
        <w:rPr>
          <w:rFonts w:asciiTheme="minorHAnsi" w:hAnsiTheme="minorHAnsi" w:cstheme="minorHAnsi"/>
          <w:sz w:val="24"/>
          <w:szCs w:val="24"/>
        </w:rPr>
        <w:t>re-</w:t>
      </w:r>
      <w:r w:rsidR="00A929AF" w:rsidRPr="003E74C0">
        <w:rPr>
          <w:rFonts w:asciiTheme="minorHAnsi" w:hAnsiTheme="minorHAnsi" w:cstheme="minorHAnsi"/>
          <w:sz w:val="24"/>
          <w:szCs w:val="24"/>
        </w:rPr>
        <w:t>N</w:t>
      </w:r>
      <w:r w:rsidRPr="003E74C0">
        <w:rPr>
          <w:rFonts w:asciiTheme="minorHAnsi" w:hAnsiTheme="minorHAnsi" w:cstheme="minorHAnsi"/>
          <w:sz w:val="24"/>
          <w:szCs w:val="24"/>
        </w:rPr>
        <w:t xml:space="preserve">otification </w:t>
      </w:r>
      <w:r w:rsidR="00A929AF" w:rsidRPr="003E74C0">
        <w:rPr>
          <w:rFonts w:asciiTheme="minorHAnsi" w:hAnsiTheme="minorHAnsi" w:cstheme="minorHAnsi"/>
          <w:sz w:val="24"/>
          <w:szCs w:val="24"/>
        </w:rPr>
        <w:t>A</w:t>
      </w:r>
      <w:r w:rsidRPr="003E74C0">
        <w:rPr>
          <w:rFonts w:asciiTheme="minorHAnsi" w:hAnsiTheme="minorHAnsi" w:cstheme="minorHAnsi"/>
          <w:sz w:val="24"/>
          <w:szCs w:val="24"/>
        </w:rPr>
        <w:t xml:space="preserve">pplication is </w:t>
      </w:r>
      <w:r w:rsidR="00A929AF" w:rsidRPr="003E74C0">
        <w:rPr>
          <w:rFonts w:asciiTheme="minorHAnsi" w:hAnsiTheme="minorHAnsi" w:cstheme="minorHAnsi"/>
          <w:sz w:val="24"/>
          <w:szCs w:val="24"/>
        </w:rPr>
        <w:t xml:space="preserve">an applicant’s </w:t>
      </w:r>
      <w:r w:rsidRPr="003E74C0">
        <w:rPr>
          <w:rFonts w:asciiTheme="minorHAnsi" w:hAnsiTheme="minorHAnsi" w:cstheme="minorHAnsi"/>
          <w:sz w:val="24"/>
          <w:szCs w:val="24"/>
        </w:rPr>
        <w:t xml:space="preserve">request to reserve </w:t>
      </w:r>
      <w:r w:rsidR="00A929AF" w:rsidRPr="003E74C0">
        <w:rPr>
          <w:rFonts w:asciiTheme="minorHAnsi" w:hAnsiTheme="minorHAnsi" w:cstheme="minorHAnsi"/>
          <w:sz w:val="24"/>
          <w:szCs w:val="24"/>
        </w:rPr>
        <w:t>funding for rebates</w:t>
      </w:r>
      <w:r w:rsidRPr="003E74C0">
        <w:rPr>
          <w:rFonts w:asciiTheme="minorHAnsi" w:hAnsiTheme="minorHAnsi" w:cstheme="minorHAnsi"/>
          <w:sz w:val="24"/>
          <w:szCs w:val="24"/>
        </w:rPr>
        <w:t xml:space="preserve"> in advance of project installation. </w:t>
      </w:r>
      <w:r w:rsidRPr="003E74C0">
        <w:rPr>
          <w:rFonts w:asciiTheme="minorHAnsi" w:hAnsiTheme="minorHAnsi" w:cstheme="minorHAnsi"/>
          <w:b/>
          <w:sz w:val="24"/>
          <w:szCs w:val="24"/>
        </w:rPr>
        <w:t xml:space="preserve">A </w:t>
      </w:r>
      <w:r w:rsidR="00A929AF" w:rsidRPr="003E74C0">
        <w:rPr>
          <w:rFonts w:asciiTheme="minorHAnsi" w:hAnsiTheme="minorHAnsi" w:cstheme="minorHAnsi"/>
          <w:b/>
          <w:sz w:val="24"/>
          <w:szCs w:val="24"/>
        </w:rPr>
        <w:t xml:space="preserve">Pre-Notification Application </w:t>
      </w:r>
      <w:r w:rsidRPr="003E74C0">
        <w:rPr>
          <w:rFonts w:asciiTheme="minorHAnsi" w:hAnsiTheme="minorHAnsi" w:cstheme="minorHAnsi"/>
          <w:b/>
          <w:sz w:val="24"/>
          <w:szCs w:val="24"/>
        </w:rPr>
        <w:t>is</w:t>
      </w:r>
      <w:r w:rsidRPr="003E74C0">
        <w:rPr>
          <w:rFonts w:asciiTheme="minorHAnsi" w:hAnsiTheme="minorHAnsi" w:cstheme="minorHAnsi"/>
          <w:sz w:val="24"/>
          <w:szCs w:val="24"/>
        </w:rPr>
        <w:t xml:space="preserve"> </w:t>
      </w:r>
      <w:r w:rsidRPr="003E74C0">
        <w:rPr>
          <w:rFonts w:asciiTheme="minorHAnsi" w:hAnsiTheme="minorHAnsi" w:cstheme="minorHAnsi"/>
          <w:b/>
          <w:sz w:val="24"/>
          <w:szCs w:val="24"/>
        </w:rPr>
        <w:t>required for all proposed projects</w:t>
      </w:r>
      <w:r w:rsidRPr="003E74C0">
        <w:rPr>
          <w:rFonts w:asciiTheme="minorHAnsi" w:hAnsiTheme="minorHAnsi" w:cstheme="minorHAnsi"/>
          <w:sz w:val="24"/>
          <w:szCs w:val="24"/>
        </w:rPr>
        <w:t xml:space="preserve">. </w:t>
      </w:r>
      <w:r w:rsidR="00A929AF" w:rsidRPr="003E74C0">
        <w:rPr>
          <w:rFonts w:asciiTheme="minorHAnsi" w:hAnsiTheme="minorHAnsi" w:cstheme="minorHAnsi"/>
          <w:sz w:val="24"/>
          <w:szCs w:val="24"/>
        </w:rPr>
        <w:t>Projects are ineligible for rebate funding without the submission of a</w:t>
      </w:r>
      <w:r w:rsidRPr="003E74C0">
        <w:rPr>
          <w:rFonts w:asciiTheme="minorHAnsi" w:hAnsiTheme="minorHAnsi" w:cstheme="minorHAnsi"/>
          <w:sz w:val="24"/>
          <w:szCs w:val="24"/>
        </w:rPr>
        <w:t xml:space="preserve"> </w:t>
      </w:r>
      <w:r w:rsidR="00A929AF" w:rsidRPr="003E74C0">
        <w:rPr>
          <w:rFonts w:asciiTheme="minorHAnsi" w:hAnsiTheme="minorHAnsi" w:cstheme="minorHAnsi"/>
          <w:sz w:val="24"/>
          <w:szCs w:val="24"/>
        </w:rPr>
        <w:t>P</w:t>
      </w:r>
      <w:r w:rsidRPr="003E74C0">
        <w:rPr>
          <w:rFonts w:asciiTheme="minorHAnsi" w:hAnsiTheme="minorHAnsi" w:cstheme="minorHAnsi"/>
          <w:sz w:val="24"/>
          <w:szCs w:val="24"/>
        </w:rPr>
        <w:t>re-</w:t>
      </w:r>
      <w:r w:rsidR="00A929AF" w:rsidRPr="003E74C0">
        <w:rPr>
          <w:rFonts w:asciiTheme="minorHAnsi" w:hAnsiTheme="minorHAnsi" w:cstheme="minorHAnsi"/>
          <w:sz w:val="24"/>
          <w:szCs w:val="24"/>
        </w:rPr>
        <w:t>N</w:t>
      </w:r>
      <w:r w:rsidRPr="003E74C0">
        <w:rPr>
          <w:rFonts w:asciiTheme="minorHAnsi" w:hAnsiTheme="minorHAnsi" w:cstheme="minorHAnsi"/>
          <w:sz w:val="24"/>
          <w:szCs w:val="24"/>
        </w:rPr>
        <w:t xml:space="preserve">otification </w:t>
      </w:r>
      <w:r w:rsidR="00AF761E" w:rsidRPr="003E74C0">
        <w:rPr>
          <w:rFonts w:asciiTheme="minorHAnsi" w:hAnsiTheme="minorHAnsi" w:cstheme="minorHAnsi"/>
          <w:sz w:val="24"/>
          <w:szCs w:val="24"/>
        </w:rPr>
        <w:t xml:space="preserve">Application. Please note that </w:t>
      </w:r>
      <w:r w:rsidR="00A929AF" w:rsidRPr="003E74C0">
        <w:rPr>
          <w:rFonts w:asciiTheme="minorHAnsi" w:hAnsiTheme="minorHAnsi" w:cstheme="minorHAnsi"/>
          <w:sz w:val="24"/>
          <w:szCs w:val="24"/>
        </w:rPr>
        <w:t>a p</w:t>
      </w:r>
      <w:r w:rsidRPr="003E74C0">
        <w:rPr>
          <w:rFonts w:asciiTheme="minorHAnsi" w:hAnsiTheme="minorHAnsi" w:cstheme="minorHAnsi"/>
          <w:sz w:val="24"/>
          <w:szCs w:val="24"/>
        </w:rPr>
        <w:t xml:space="preserve">re-installation inspection </w:t>
      </w:r>
      <w:r w:rsidR="00AF761E" w:rsidRPr="003E74C0">
        <w:rPr>
          <w:rFonts w:asciiTheme="minorHAnsi" w:hAnsiTheme="minorHAnsi" w:cstheme="minorHAnsi"/>
          <w:sz w:val="24"/>
          <w:szCs w:val="24"/>
        </w:rPr>
        <w:t>may be</w:t>
      </w:r>
      <w:r w:rsidRPr="003E74C0">
        <w:rPr>
          <w:rFonts w:asciiTheme="minorHAnsi" w:hAnsiTheme="minorHAnsi" w:cstheme="minorHAnsi"/>
          <w:sz w:val="24"/>
          <w:szCs w:val="24"/>
        </w:rPr>
        <w:t xml:space="preserve"> required as determined necessary by program staff.</w:t>
      </w:r>
    </w:p>
    <w:p w14:paraId="650AFA61" w14:textId="77777777" w:rsidR="0056447B" w:rsidRPr="003E74C0" w:rsidRDefault="0056447B" w:rsidP="0056447B">
      <w:pPr>
        <w:jc w:val="left"/>
        <w:rPr>
          <w:rFonts w:asciiTheme="minorHAnsi" w:hAnsiTheme="minorHAnsi" w:cstheme="minorHAnsi"/>
          <w:sz w:val="24"/>
          <w:szCs w:val="24"/>
        </w:rPr>
      </w:pPr>
    </w:p>
    <w:p w14:paraId="713453F2" w14:textId="77777777" w:rsidR="0056447B"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The </w:t>
      </w:r>
      <w:r w:rsidR="00AF761E"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w:t>
      </w:r>
      <w:r w:rsidR="00AF761E" w:rsidRPr="003E74C0">
        <w:rPr>
          <w:rFonts w:asciiTheme="minorHAnsi" w:hAnsiTheme="minorHAnsi" w:cstheme="minorHAnsi"/>
          <w:sz w:val="24"/>
          <w:szCs w:val="24"/>
        </w:rPr>
        <w:t xml:space="preserve"> gas program</w:t>
      </w:r>
      <w:r w:rsidRPr="003E74C0">
        <w:rPr>
          <w:rFonts w:asciiTheme="minorHAnsi" w:hAnsiTheme="minorHAnsi" w:cstheme="minorHAnsi"/>
          <w:sz w:val="24"/>
          <w:szCs w:val="24"/>
        </w:rPr>
        <w:t xml:space="preserve"> </w:t>
      </w:r>
      <w:r w:rsidR="00E95D4E" w:rsidRPr="003E74C0">
        <w:rPr>
          <w:rFonts w:asciiTheme="minorHAnsi" w:hAnsiTheme="minorHAnsi" w:cstheme="minorHAnsi"/>
          <w:sz w:val="24"/>
          <w:szCs w:val="24"/>
        </w:rPr>
        <w:t>t</w:t>
      </w:r>
      <w:r w:rsidRPr="003E74C0">
        <w:rPr>
          <w:rFonts w:asciiTheme="minorHAnsi" w:hAnsiTheme="minorHAnsi" w:cstheme="minorHAnsi"/>
          <w:sz w:val="24"/>
          <w:szCs w:val="24"/>
        </w:rPr>
        <w:t xml:space="preserve">eam will review the </w:t>
      </w:r>
      <w:r w:rsidR="00A929AF" w:rsidRPr="003E74C0">
        <w:rPr>
          <w:rFonts w:asciiTheme="minorHAnsi" w:hAnsiTheme="minorHAnsi" w:cstheme="minorHAnsi"/>
          <w:sz w:val="24"/>
          <w:szCs w:val="24"/>
        </w:rPr>
        <w:t xml:space="preserve">Pre-Notification Application </w:t>
      </w:r>
      <w:r w:rsidRPr="003E74C0">
        <w:rPr>
          <w:rFonts w:asciiTheme="minorHAnsi" w:hAnsiTheme="minorHAnsi" w:cstheme="minorHAnsi"/>
          <w:sz w:val="24"/>
          <w:szCs w:val="24"/>
        </w:rPr>
        <w:t xml:space="preserve">and will work with the customer (or their designee) to reserve funds in a timely manner. </w:t>
      </w:r>
    </w:p>
    <w:p w14:paraId="7F855CA7" w14:textId="77777777" w:rsidR="0056447B" w:rsidRPr="003E74C0" w:rsidRDefault="0056447B" w:rsidP="0056447B">
      <w:pPr>
        <w:numPr>
          <w:ilvl w:val="0"/>
          <w:numId w:val="17"/>
        </w:numPr>
        <w:spacing w:before="120"/>
        <w:jc w:val="left"/>
        <w:rPr>
          <w:rFonts w:asciiTheme="minorHAnsi" w:hAnsiTheme="minorHAnsi" w:cstheme="minorHAnsi"/>
          <w:sz w:val="24"/>
          <w:szCs w:val="24"/>
        </w:rPr>
      </w:pPr>
      <w:r w:rsidRPr="003E74C0">
        <w:rPr>
          <w:rFonts w:asciiTheme="minorHAnsi" w:hAnsiTheme="minorHAnsi" w:cstheme="minorHAnsi"/>
          <w:sz w:val="24"/>
          <w:szCs w:val="24"/>
        </w:rPr>
        <w:t xml:space="preserve">For prescriptive measures, the application must include sufficient information to estimate the rebate amount. This will likely include measure quantities, equipment efficiencies and other specific project details. </w:t>
      </w:r>
    </w:p>
    <w:p w14:paraId="3A4068AE" w14:textId="77777777" w:rsidR="0056447B" w:rsidRPr="003E74C0" w:rsidRDefault="0056447B" w:rsidP="0056447B">
      <w:pPr>
        <w:rPr>
          <w:rFonts w:asciiTheme="minorHAnsi" w:hAnsiTheme="minorHAnsi" w:cstheme="minorHAnsi"/>
          <w:b/>
          <w:sz w:val="24"/>
          <w:szCs w:val="24"/>
        </w:rPr>
      </w:pPr>
    </w:p>
    <w:p w14:paraId="53FCB859" w14:textId="77777777" w:rsidR="0056447B"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Required supporting documentation is listed within the application documents located online at </w:t>
      </w:r>
      <w:hyperlink r:id="rId14" w:history="1">
        <w:r w:rsidR="00AF761E" w:rsidRPr="003E74C0">
          <w:rPr>
            <w:rStyle w:val="Hyperlink"/>
            <w:rFonts w:asciiTheme="minorHAnsi" w:hAnsiTheme="minorHAnsi" w:cstheme="minorHAnsi"/>
            <w:sz w:val="24"/>
            <w:szCs w:val="24"/>
          </w:rPr>
          <w:t>ues</w:t>
        </w:r>
        <w:r w:rsidRPr="003E74C0">
          <w:rPr>
            <w:rStyle w:val="Hyperlink"/>
            <w:rFonts w:asciiTheme="minorHAnsi" w:hAnsiTheme="minorHAnsi" w:cstheme="minorHAnsi"/>
            <w:sz w:val="24"/>
            <w:szCs w:val="24"/>
          </w:rPr>
          <w:t>commercialenergysolutions.com</w:t>
        </w:r>
      </w:hyperlink>
      <w:r w:rsidRPr="003E74C0">
        <w:rPr>
          <w:rFonts w:asciiTheme="minorHAnsi" w:hAnsiTheme="minorHAnsi" w:cstheme="minorHAnsi"/>
          <w:sz w:val="24"/>
          <w:szCs w:val="24"/>
        </w:rPr>
        <w:t>.</w:t>
      </w:r>
    </w:p>
    <w:p w14:paraId="2138FFB5" w14:textId="77777777" w:rsidR="0056447B" w:rsidRPr="00CA2715" w:rsidRDefault="0056447B" w:rsidP="0056447B">
      <w:pPr>
        <w:rPr>
          <w:rFonts w:asciiTheme="minorHAnsi" w:hAnsiTheme="minorHAnsi" w:cstheme="minorHAnsi"/>
          <w:b/>
        </w:rPr>
      </w:pPr>
    </w:p>
    <w:p w14:paraId="22B68046" w14:textId="77777777" w:rsidR="0056447B" w:rsidRPr="00CA2715" w:rsidRDefault="00D54A2E" w:rsidP="0056447B">
      <w:pPr>
        <w:jc w:val="left"/>
        <w:rPr>
          <w:rFonts w:asciiTheme="minorHAnsi" w:hAnsiTheme="minorHAnsi" w:cstheme="minorHAnsi"/>
          <w:b/>
          <w:sz w:val="28"/>
          <w:szCs w:val="28"/>
        </w:rPr>
      </w:pPr>
      <w:r w:rsidRPr="00CA2715">
        <w:rPr>
          <w:rFonts w:asciiTheme="minorHAnsi" w:hAnsiTheme="minorHAnsi" w:cstheme="minorHAnsi"/>
          <w:b/>
          <w:sz w:val="28"/>
          <w:szCs w:val="28"/>
        </w:rPr>
        <w:t>Final Application</w:t>
      </w:r>
    </w:p>
    <w:p w14:paraId="4E63B5C6" w14:textId="1AAAC454" w:rsidR="0056447B" w:rsidRPr="003E74C0" w:rsidRDefault="0056447B" w:rsidP="0056447B">
      <w:pPr>
        <w:jc w:val="left"/>
        <w:rPr>
          <w:rFonts w:asciiTheme="minorHAnsi" w:hAnsiTheme="minorHAnsi" w:cstheme="minorHAnsi"/>
          <w:sz w:val="24"/>
        </w:rPr>
      </w:pPr>
      <w:r w:rsidRPr="003E74C0">
        <w:rPr>
          <w:rFonts w:asciiTheme="minorHAnsi" w:hAnsiTheme="minorHAnsi" w:cstheme="minorHAnsi"/>
          <w:sz w:val="24"/>
        </w:rPr>
        <w:t xml:space="preserve">The </w:t>
      </w:r>
      <w:r w:rsidR="00D54A2E" w:rsidRPr="003E74C0">
        <w:rPr>
          <w:rFonts w:asciiTheme="minorHAnsi" w:hAnsiTheme="minorHAnsi" w:cstheme="minorHAnsi"/>
          <w:sz w:val="24"/>
        </w:rPr>
        <w:t>Final Application</w:t>
      </w:r>
      <w:r w:rsidRPr="003E74C0">
        <w:rPr>
          <w:rFonts w:asciiTheme="minorHAnsi" w:hAnsiTheme="minorHAnsi" w:cstheme="minorHAnsi"/>
          <w:sz w:val="24"/>
        </w:rPr>
        <w:t xml:space="preserve"> is the official request for rebate payment. </w:t>
      </w:r>
      <w:r w:rsidR="00D54A2E" w:rsidRPr="003E74C0">
        <w:rPr>
          <w:rFonts w:asciiTheme="minorHAnsi" w:hAnsiTheme="minorHAnsi" w:cstheme="minorHAnsi"/>
          <w:sz w:val="24"/>
        </w:rPr>
        <w:t>Final Application</w:t>
      </w:r>
      <w:r w:rsidRPr="003E74C0">
        <w:rPr>
          <w:rFonts w:asciiTheme="minorHAnsi" w:hAnsiTheme="minorHAnsi" w:cstheme="minorHAnsi"/>
          <w:sz w:val="24"/>
        </w:rPr>
        <w:t xml:space="preserve">s </w:t>
      </w:r>
      <w:r w:rsidRPr="003E74C0">
        <w:rPr>
          <w:rFonts w:asciiTheme="minorHAnsi" w:hAnsiTheme="minorHAnsi" w:cstheme="minorHAnsi"/>
          <w:b/>
          <w:sz w:val="24"/>
        </w:rPr>
        <w:t>must be submitted</w:t>
      </w:r>
      <w:r w:rsidRPr="003E74C0">
        <w:rPr>
          <w:rFonts w:asciiTheme="minorHAnsi" w:hAnsiTheme="minorHAnsi" w:cstheme="minorHAnsi"/>
          <w:sz w:val="24"/>
        </w:rPr>
        <w:t xml:space="preserve"> within 60 days after project completion, the reservation end date, or by </w:t>
      </w:r>
      <w:r w:rsidR="00296168">
        <w:rPr>
          <w:rFonts w:asciiTheme="minorHAnsi" w:hAnsiTheme="minorHAnsi" w:cstheme="minorHAnsi"/>
          <w:sz w:val="24"/>
        </w:rPr>
        <w:t xml:space="preserve">December 1 </w:t>
      </w:r>
      <w:r w:rsidRPr="003E74C0">
        <w:rPr>
          <w:rFonts w:asciiTheme="minorHAnsi" w:hAnsiTheme="minorHAnsi" w:cstheme="minorHAnsi"/>
          <w:sz w:val="24"/>
        </w:rPr>
        <w:t>of the same program year</w:t>
      </w:r>
      <w:r w:rsidR="00E95D4E" w:rsidRPr="003E74C0">
        <w:rPr>
          <w:rFonts w:asciiTheme="minorHAnsi" w:hAnsiTheme="minorHAnsi" w:cstheme="minorHAnsi"/>
          <w:sz w:val="24"/>
        </w:rPr>
        <w:t>,</w:t>
      </w:r>
      <w:r w:rsidRPr="003E74C0">
        <w:rPr>
          <w:rFonts w:asciiTheme="minorHAnsi" w:hAnsiTheme="minorHAnsi" w:cstheme="minorHAnsi"/>
          <w:sz w:val="24"/>
        </w:rPr>
        <w:t xml:space="preserve"> whichever comes first. The project completion date shall be determined by the date the energy-efficient equipment becomes operational. Projects that will not be completed by </w:t>
      </w:r>
      <w:r w:rsidR="00296168">
        <w:rPr>
          <w:rFonts w:asciiTheme="minorHAnsi" w:hAnsiTheme="minorHAnsi" w:cstheme="minorHAnsi"/>
          <w:sz w:val="24"/>
        </w:rPr>
        <w:t>December 1</w:t>
      </w:r>
      <w:r w:rsidRPr="003E74C0">
        <w:rPr>
          <w:rFonts w:asciiTheme="minorHAnsi" w:hAnsiTheme="minorHAnsi" w:cstheme="minorHAnsi"/>
          <w:sz w:val="24"/>
        </w:rPr>
        <w:t xml:space="preserve"> of the program calendar year may be ineligible to receive funds. All applications will be reviewed against the program rules in place at the time the application is submitted.</w:t>
      </w:r>
    </w:p>
    <w:p w14:paraId="62415D8C" w14:textId="77777777" w:rsidR="0056447B" w:rsidRPr="003E74C0" w:rsidRDefault="0056447B" w:rsidP="0056447B">
      <w:pPr>
        <w:autoSpaceDE w:val="0"/>
        <w:autoSpaceDN w:val="0"/>
        <w:adjustRightInd w:val="0"/>
        <w:ind w:left="60"/>
        <w:jc w:val="left"/>
        <w:rPr>
          <w:rFonts w:asciiTheme="minorHAnsi" w:hAnsiTheme="minorHAnsi" w:cstheme="minorHAnsi"/>
          <w:sz w:val="24"/>
        </w:rPr>
      </w:pPr>
    </w:p>
    <w:p w14:paraId="00AE9DED" w14:textId="77777777" w:rsidR="0056447B" w:rsidRPr="003E74C0" w:rsidRDefault="00D54A2E" w:rsidP="0056447B">
      <w:pPr>
        <w:jc w:val="left"/>
        <w:rPr>
          <w:rFonts w:asciiTheme="minorHAnsi" w:hAnsiTheme="minorHAnsi" w:cstheme="minorHAnsi"/>
          <w:sz w:val="24"/>
        </w:rPr>
      </w:pPr>
      <w:r w:rsidRPr="003E74C0">
        <w:rPr>
          <w:rFonts w:asciiTheme="minorHAnsi" w:hAnsiTheme="minorHAnsi" w:cstheme="minorHAnsi"/>
          <w:sz w:val="24"/>
        </w:rPr>
        <w:t>Final Application</w:t>
      </w:r>
      <w:r w:rsidR="0056447B" w:rsidRPr="003E74C0">
        <w:rPr>
          <w:rFonts w:asciiTheme="minorHAnsi" w:hAnsiTheme="minorHAnsi" w:cstheme="minorHAnsi"/>
          <w:sz w:val="24"/>
        </w:rPr>
        <w:t xml:space="preserve">s must include all project documentation that is specified on the </w:t>
      </w:r>
      <w:r w:rsidRPr="003E74C0">
        <w:rPr>
          <w:rFonts w:asciiTheme="minorHAnsi" w:hAnsiTheme="minorHAnsi" w:cstheme="minorHAnsi"/>
          <w:sz w:val="24"/>
        </w:rPr>
        <w:t>Final Application Form</w:t>
      </w:r>
      <w:r w:rsidR="0056447B" w:rsidRPr="003E74C0">
        <w:rPr>
          <w:rFonts w:asciiTheme="minorHAnsi" w:hAnsiTheme="minorHAnsi" w:cstheme="minorHAnsi"/>
          <w:sz w:val="24"/>
        </w:rPr>
        <w:t>, including copies of all itemized invoices and receipts as well as equipment specifications and technical details where mandated. Invoices must include the full cost to the customer for the project.</w:t>
      </w:r>
    </w:p>
    <w:p w14:paraId="45ED4D50" w14:textId="77777777" w:rsidR="0056447B" w:rsidRPr="003E74C0" w:rsidRDefault="0056447B" w:rsidP="0056447B">
      <w:pPr>
        <w:jc w:val="left"/>
        <w:rPr>
          <w:rFonts w:asciiTheme="minorHAnsi" w:hAnsiTheme="minorHAnsi" w:cstheme="minorHAnsi"/>
          <w:sz w:val="24"/>
        </w:rPr>
      </w:pPr>
    </w:p>
    <w:p w14:paraId="3BBBC317" w14:textId="77777777" w:rsidR="0056447B" w:rsidRPr="003E74C0" w:rsidRDefault="0056447B" w:rsidP="0056447B">
      <w:pPr>
        <w:jc w:val="left"/>
        <w:rPr>
          <w:rFonts w:asciiTheme="minorHAnsi" w:hAnsiTheme="minorHAnsi" w:cstheme="minorHAnsi"/>
          <w:sz w:val="24"/>
        </w:rPr>
      </w:pPr>
      <w:r w:rsidRPr="003E74C0">
        <w:rPr>
          <w:rFonts w:asciiTheme="minorHAnsi" w:hAnsiTheme="minorHAnsi" w:cstheme="minorHAnsi"/>
          <w:sz w:val="24"/>
        </w:rPr>
        <w:lastRenderedPageBreak/>
        <w:t xml:space="preserve">The </w:t>
      </w:r>
      <w:r w:rsidR="00D54A2E" w:rsidRPr="003E74C0">
        <w:rPr>
          <w:rFonts w:asciiTheme="minorHAnsi" w:hAnsiTheme="minorHAnsi" w:cstheme="minorHAnsi"/>
          <w:sz w:val="24"/>
        </w:rPr>
        <w:t>Final Application</w:t>
      </w:r>
      <w:r w:rsidRPr="003E74C0">
        <w:rPr>
          <w:rFonts w:asciiTheme="minorHAnsi" w:hAnsiTheme="minorHAnsi" w:cstheme="minorHAnsi"/>
          <w:sz w:val="24"/>
        </w:rPr>
        <w:t xml:space="preserve"> also provides the customer with the opportunity to designate a third party as the recipient to receive the final rebate payment. The customer must sign </w:t>
      </w:r>
      <w:r w:rsidR="00A929AF" w:rsidRPr="003E74C0">
        <w:rPr>
          <w:rFonts w:asciiTheme="minorHAnsi" w:hAnsiTheme="minorHAnsi" w:cstheme="minorHAnsi"/>
          <w:sz w:val="24"/>
        </w:rPr>
        <w:t xml:space="preserve">and initial </w:t>
      </w:r>
      <w:r w:rsidRPr="003E74C0">
        <w:rPr>
          <w:rFonts w:asciiTheme="minorHAnsi" w:hAnsiTheme="minorHAnsi" w:cstheme="minorHAnsi"/>
          <w:sz w:val="24"/>
        </w:rPr>
        <w:t xml:space="preserve">the </w:t>
      </w:r>
      <w:r w:rsidR="00D54A2E" w:rsidRPr="003E74C0">
        <w:rPr>
          <w:rFonts w:asciiTheme="minorHAnsi" w:hAnsiTheme="minorHAnsi" w:cstheme="minorHAnsi"/>
          <w:sz w:val="24"/>
        </w:rPr>
        <w:t>Final Application</w:t>
      </w:r>
      <w:r w:rsidRPr="003E74C0">
        <w:rPr>
          <w:rFonts w:asciiTheme="minorHAnsi" w:hAnsiTheme="minorHAnsi" w:cstheme="minorHAnsi"/>
          <w:sz w:val="24"/>
        </w:rPr>
        <w:t xml:space="preserve"> in the appropriate places before </w:t>
      </w:r>
      <w:r w:rsidR="00A929AF" w:rsidRPr="003E74C0">
        <w:rPr>
          <w:rFonts w:asciiTheme="minorHAnsi" w:hAnsiTheme="minorHAnsi" w:cstheme="minorHAnsi"/>
          <w:sz w:val="24"/>
        </w:rPr>
        <w:t xml:space="preserve">rebates are paid </w:t>
      </w:r>
      <w:r w:rsidRPr="003E74C0">
        <w:rPr>
          <w:rFonts w:asciiTheme="minorHAnsi" w:hAnsiTheme="minorHAnsi" w:cstheme="minorHAnsi"/>
          <w:sz w:val="24"/>
        </w:rPr>
        <w:t>to a third party. An original signature from the customer and third party</w:t>
      </w:r>
      <w:r w:rsidR="00A929AF" w:rsidRPr="003E74C0">
        <w:rPr>
          <w:rFonts w:asciiTheme="minorHAnsi" w:hAnsiTheme="minorHAnsi" w:cstheme="minorHAnsi"/>
          <w:sz w:val="24"/>
        </w:rPr>
        <w:t>,</w:t>
      </w:r>
      <w:r w:rsidRPr="003E74C0">
        <w:rPr>
          <w:rFonts w:asciiTheme="minorHAnsi" w:hAnsiTheme="minorHAnsi" w:cstheme="minorHAnsi"/>
          <w:sz w:val="24"/>
        </w:rPr>
        <w:t xml:space="preserve"> if applicable, is required on the application before funds </w:t>
      </w:r>
      <w:r w:rsidR="00A929AF" w:rsidRPr="003E74C0">
        <w:rPr>
          <w:rFonts w:asciiTheme="minorHAnsi" w:hAnsiTheme="minorHAnsi" w:cstheme="minorHAnsi"/>
          <w:sz w:val="24"/>
        </w:rPr>
        <w:t xml:space="preserve">will </w:t>
      </w:r>
      <w:r w:rsidR="009C6947" w:rsidRPr="003E74C0">
        <w:rPr>
          <w:rFonts w:asciiTheme="minorHAnsi" w:hAnsiTheme="minorHAnsi" w:cstheme="minorHAnsi"/>
          <w:sz w:val="24"/>
        </w:rPr>
        <w:t>be paid.</w:t>
      </w:r>
    </w:p>
    <w:p w14:paraId="2D38242C" w14:textId="77777777" w:rsidR="009C6947" w:rsidRPr="00CA2715" w:rsidRDefault="009C6947" w:rsidP="0056447B">
      <w:pPr>
        <w:jc w:val="left"/>
        <w:rPr>
          <w:rFonts w:asciiTheme="minorHAnsi" w:hAnsiTheme="minorHAnsi" w:cstheme="minorHAnsi"/>
        </w:rPr>
      </w:pPr>
    </w:p>
    <w:p w14:paraId="5DD06527" w14:textId="77777777" w:rsidR="0056447B" w:rsidRPr="00CA2715" w:rsidRDefault="009B2435" w:rsidP="0056447B">
      <w:pPr>
        <w:pStyle w:val="Heading1"/>
        <w:numPr>
          <w:ilvl w:val="0"/>
          <w:numId w:val="3"/>
        </w:numPr>
        <w:spacing w:before="120" w:after="120"/>
        <w:jc w:val="left"/>
        <w:rPr>
          <w:rFonts w:asciiTheme="minorHAnsi" w:hAnsiTheme="minorHAnsi" w:cstheme="minorHAnsi"/>
        </w:rPr>
      </w:pPr>
      <w:bookmarkStart w:id="24" w:name="_Toc511996621"/>
      <w:r>
        <w:rPr>
          <w:rFonts w:asciiTheme="minorHAnsi" w:hAnsiTheme="minorHAnsi" w:cstheme="minorHAnsi"/>
        </w:rPr>
        <w:t>The 6-Step Application Process</w:t>
      </w:r>
      <w:bookmarkEnd w:id="24"/>
    </w:p>
    <w:p w14:paraId="1EC579B6" w14:textId="77777777" w:rsidR="0056447B" w:rsidRPr="00CA2715" w:rsidRDefault="0056447B" w:rsidP="0056447B">
      <w:pPr>
        <w:jc w:val="left"/>
        <w:rPr>
          <w:rFonts w:asciiTheme="minorHAnsi" w:hAnsiTheme="minorHAnsi" w:cstheme="minorHAnsi"/>
        </w:rPr>
      </w:pPr>
    </w:p>
    <w:p w14:paraId="18DB0E37" w14:textId="77777777" w:rsidR="0056447B" w:rsidRPr="003E74C0" w:rsidRDefault="0056447B" w:rsidP="0056447B">
      <w:pPr>
        <w:jc w:val="left"/>
        <w:rPr>
          <w:rFonts w:asciiTheme="minorHAnsi" w:hAnsiTheme="minorHAnsi" w:cstheme="minorHAnsi"/>
          <w:sz w:val="24"/>
        </w:rPr>
      </w:pPr>
      <w:r w:rsidRPr="003E74C0">
        <w:rPr>
          <w:rFonts w:asciiTheme="minorHAnsi" w:hAnsiTheme="minorHAnsi" w:cstheme="minorHAnsi"/>
          <w:sz w:val="24"/>
        </w:rPr>
        <w:t>The</w:t>
      </w:r>
      <w:r w:rsidR="00811CCD" w:rsidRPr="003E74C0">
        <w:rPr>
          <w:rFonts w:asciiTheme="minorHAnsi" w:hAnsiTheme="minorHAnsi" w:cstheme="minorHAnsi"/>
          <w:sz w:val="24"/>
        </w:rPr>
        <w:t xml:space="preserve"> application process has been streamlined to make it as simple as possible for customers. Please refer to the general process flow chart in Appendix A of this document</w:t>
      </w:r>
      <w:r w:rsidR="004D639A" w:rsidRPr="003E74C0">
        <w:rPr>
          <w:rFonts w:asciiTheme="minorHAnsi" w:hAnsiTheme="minorHAnsi" w:cstheme="minorHAnsi"/>
          <w:sz w:val="24"/>
        </w:rPr>
        <w:t xml:space="preserve"> for more information</w:t>
      </w:r>
      <w:r w:rsidR="00811CCD" w:rsidRPr="003E74C0">
        <w:rPr>
          <w:rFonts w:asciiTheme="minorHAnsi" w:hAnsiTheme="minorHAnsi" w:cstheme="minorHAnsi"/>
          <w:sz w:val="24"/>
        </w:rPr>
        <w:t xml:space="preserve">. </w:t>
      </w:r>
      <w:r w:rsidRPr="003E74C0">
        <w:rPr>
          <w:rFonts w:asciiTheme="minorHAnsi" w:hAnsiTheme="minorHAnsi" w:cstheme="minorHAnsi"/>
          <w:sz w:val="24"/>
        </w:rPr>
        <w:t xml:space="preserve">Program applications can be found </w:t>
      </w:r>
      <w:r w:rsidR="00811CCD" w:rsidRPr="003E74C0">
        <w:rPr>
          <w:rFonts w:asciiTheme="minorHAnsi" w:hAnsiTheme="minorHAnsi" w:cstheme="minorHAnsi"/>
          <w:sz w:val="24"/>
        </w:rPr>
        <w:t xml:space="preserve">online at </w:t>
      </w:r>
      <w:hyperlink r:id="rId15" w:history="1">
        <w:r w:rsidR="00AF761E" w:rsidRPr="003E74C0">
          <w:rPr>
            <w:rStyle w:val="Hyperlink"/>
            <w:rFonts w:asciiTheme="minorHAnsi" w:hAnsiTheme="minorHAnsi" w:cstheme="minorHAnsi"/>
            <w:sz w:val="24"/>
          </w:rPr>
          <w:t>ues</w:t>
        </w:r>
        <w:r w:rsidRPr="003E74C0">
          <w:rPr>
            <w:rStyle w:val="Hyperlink"/>
            <w:rFonts w:asciiTheme="minorHAnsi" w:hAnsiTheme="minorHAnsi" w:cstheme="minorHAnsi"/>
            <w:sz w:val="24"/>
          </w:rPr>
          <w:t>commercialenergysolutions.com</w:t>
        </w:r>
      </w:hyperlink>
      <w:r w:rsidRPr="003E74C0">
        <w:rPr>
          <w:rFonts w:asciiTheme="minorHAnsi" w:hAnsiTheme="minorHAnsi" w:cstheme="minorHAnsi"/>
          <w:sz w:val="24"/>
        </w:rPr>
        <w:t>.</w:t>
      </w:r>
    </w:p>
    <w:p w14:paraId="26BD1851" w14:textId="77777777" w:rsidR="0056447B" w:rsidRPr="003E74C0" w:rsidRDefault="0056447B" w:rsidP="0056447B">
      <w:pPr>
        <w:jc w:val="left"/>
        <w:rPr>
          <w:rFonts w:asciiTheme="minorHAnsi" w:hAnsiTheme="minorHAnsi" w:cstheme="minorHAnsi"/>
          <w:sz w:val="24"/>
        </w:rPr>
      </w:pPr>
    </w:p>
    <w:p w14:paraId="3F5AA814" w14:textId="77777777" w:rsidR="00D02D0B" w:rsidRPr="003E74C0" w:rsidRDefault="0056447B" w:rsidP="0056447B">
      <w:pPr>
        <w:jc w:val="left"/>
        <w:rPr>
          <w:rFonts w:asciiTheme="minorHAnsi" w:hAnsiTheme="minorHAnsi" w:cstheme="minorHAnsi"/>
          <w:sz w:val="24"/>
        </w:rPr>
      </w:pPr>
      <w:r w:rsidRPr="003E74C0">
        <w:rPr>
          <w:rFonts w:asciiTheme="minorHAnsi" w:hAnsiTheme="minorHAnsi" w:cstheme="minorHAnsi"/>
          <w:sz w:val="24"/>
        </w:rPr>
        <w:t xml:space="preserve">Program staff is available during </w:t>
      </w:r>
      <w:r w:rsidR="00E95D4E" w:rsidRPr="003E74C0">
        <w:rPr>
          <w:rFonts w:asciiTheme="minorHAnsi" w:hAnsiTheme="minorHAnsi" w:cstheme="minorHAnsi"/>
          <w:sz w:val="24"/>
        </w:rPr>
        <w:t xml:space="preserve">the </w:t>
      </w:r>
      <w:r w:rsidRPr="003E74C0">
        <w:rPr>
          <w:rFonts w:asciiTheme="minorHAnsi" w:hAnsiTheme="minorHAnsi" w:cstheme="minorHAnsi"/>
          <w:sz w:val="24"/>
        </w:rPr>
        <w:t xml:space="preserve">normal business hours </w:t>
      </w:r>
      <w:r w:rsidR="00811CCD" w:rsidRPr="003E74C0">
        <w:rPr>
          <w:rFonts w:asciiTheme="minorHAnsi" w:hAnsiTheme="minorHAnsi" w:cstheme="minorHAnsi"/>
          <w:sz w:val="24"/>
        </w:rPr>
        <w:t xml:space="preserve">of 8 a.m.-5 p.m. weekdays </w:t>
      </w:r>
      <w:r w:rsidRPr="003E74C0">
        <w:rPr>
          <w:rFonts w:asciiTheme="minorHAnsi" w:hAnsiTheme="minorHAnsi" w:cstheme="minorHAnsi"/>
          <w:sz w:val="24"/>
        </w:rPr>
        <w:t xml:space="preserve">to assist customers with the application process. For inquiries, </w:t>
      </w:r>
      <w:r w:rsidR="00811CCD" w:rsidRPr="003E74C0">
        <w:rPr>
          <w:rFonts w:asciiTheme="minorHAnsi" w:hAnsiTheme="minorHAnsi" w:cstheme="minorHAnsi"/>
          <w:sz w:val="24"/>
        </w:rPr>
        <w:t xml:space="preserve">please contact the Commercial Energy Solutions </w:t>
      </w:r>
      <w:r w:rsidR="00E95D4E" w:rsidRPr="003E74C0">
        <w:rPr>
          <w:rFonts w:asciiTheme="minorHAnsi" w:hAnsiTheme="minorHAnsi" w:cstheme="minorHAnsi"/>
          <w:sz w:val="24"/>
        </w:rPr>
        <w:t>t</w:t>
      </w:r>
      <w:r w:rsidRPr="003E74C0">
        <w:rPr>
          <w:rFonts w:asciiTheme="minorHAnsi" w:hAnsiTheme="minorHAnsi" w:cstheme="minorHAnsi"/>
          <w:sz w:val="24"/>
        </w:rPr>
        <w:t>eam at 866</w:t>
      </w:r>
      <w:r w:rsidR="00E95D4E" w:rsidRPr="003E74C0">
        <w:rPr>
          <w:rFonts w:asciiTheme="minorHAnsi" w:hAnsiTheme="minorHAnsi" w:cstheme="minorHAnsi"/>
          <w:sz w:val="24"/>
        </w:rPr>
        <w:t>-</w:t>
      </w:r>
      <w:r w:rsidRPr="003E74C0">
        <w:rPr>
          <w:rFonts w:asciiTheme="minorHAnsi" w:hAnsiTheme="minorHAnsi" w:cstheme="minorHAnsi"/>
          <w:sz w:val="24"/>
        </w:rPr>
        <w:t>324</w:t>
      </w:r>
      <w:r w:rsidR="00E95D4E" w:rsidRPr="003E74C0">
        <w:rPr>
          <w:rFonts w:asciiTheme="minorHAnsi" w:hAnsiTheme="minorHAnsi" w:cstheme="minorHAnsi"/>
          <w:sz w:val="24"/>
        </w:rPr>
        <w:t>-</w:t>
      </w:r>
      <w:r w:rsidRPr="003E74C0">
        <w:rPr>
          <w:rFonts w:asciiTheme="minorHAnsi" w:hAnsiTheme="minorHAnsi" w:cstheme="minorHAnsi"/>
          <w:sz w:val="24"/>
        </w:rPr>
        <w:t xml:space="preserve">5506 or </w:t>
      </w:r>
      <w:hyperlink r:id="rId16" w:history="1">
        <w:r w:rsidR="00AF761E" w:rsidRPr="003E74C0">
          <w:rPr>
            <w:rStyle w:val="Hyperlink"/>
            <w:rFonts w:asciiTheme="minorHAnsi" w:hAnsiTheme="minorHAnsi" w:cstheme="minorHAnsi"/>
            <w:sz w:val="24"/>
          </w:rPr>
          <w:t>ces@uesaz.com</w:t>
        </w:r>
      </w:hyperlink>
      <w:r w:rsidRPr="003E74C0">
        <w:rPr>
          <w:rFonts w:asciiTheme="minorHAnsi" w:hAnsiTheme="minorHAnsi" w:cstheme="minorHAnsi"/>
          <w:sz w:val="24"/>
        </w:rPr>
        <w:t>.</w:t>
      </w:r>
    </w:p>
    <w:p w14:paraId="13EEDA24" w14:textId="77777777" w:rsidR="0056447B" w:rsidRPr="00CA2715" w:rsidRDefault="0056447B" w:rsidP="0056447B">
      <w:pPr>
        <w:jc w:val="left"/>
        <w:rPr>
          <w:rFonts w:asciiTheme="minorHAnsi" w:hAnsiTheme="minorHAnsi" w:cstheme="minorHAnsi"/>
        </w:rPr>
      </w:pPr>
    </w:p>
    <w:p w14:paraId="4D334682" w14:textId="77777777" w:rsidR="0056447B" w:rsidRPr="003E74C0" w:rsidRDefault="0056447B" w:rsidP="0056447B">
      <w:pPr>
        <w:jc w:val="left"/>
        <w:rPr>
          <w:rFonts w:asciiTheme="minorHAnsi" w:hAnsiTheme="minorHAnsi" w:cstheme="minorHAnsi"/>
          <w:b/>
          <w:sz w:val="28"/>
          <w:szCs w:val="24"/>
        </w:rPr>
      </w:pPr>
      <w:r w:rsidRPr="003E74C0">
        <w:rPr>
          <w:rFonts w:asciiTheme="minorHAnsi" w:hAnsiTheme="minorHAnsi" w:cstheme="minorHAnsi"/>
          <w:b/>
          <w:sz w:val="28"/>
          <w:szCs w:val="24"/>
        </w:rPr>
        <w:t>Step 1:  Pre-Approval Application</w:t>
      </w:r>
      <w:r w:rsidR="00396C50" w:rsidRPr="003E74C0">
        <w:rPr>
          <w:rFonts w:asciiTheme="minorHAnsi" w:hAnsiTheme="minorHAnsi" w:cstheme="minorHAnsi"/>
          <w:b/>
          <w:sz w:val="28"/>
          <w:szCs w:val="24"/>
        </w:rPr>
        <w:t xml:space="preserve"> Submission and</w:t>
      </w:r>
      <w:r w:rsidR="009639FB" w:rsidRPr="003E74C0">
        <w:rPr>
          <w:rFonts w:asciiTheme="minorHAnsi" w:hAnsiTheme="minorHAnsi" w:cstheme="minorHAnsi"/>
          <w:b/>
          <w:sz w:val="28"/>
          <w:szCs w:val="24"/>
        </w:rPr>
        <w:t xml:space="preserve"> Review</w:t>
      </w:r>
    </w:p>
    <w:p w14:paraId="4324C23E" w14:textId="77777777" w:rsidR="0056447B" w:rsidRPr="003E74C0" w:rsidRDefault="0056447B" w:rsidP="0056447B">
      <w:pPr>
        <w:jc w:val="left"/>
        <w:rPr>
          <w:rFonts w:asciiTheme="minorHAnsi" w:hAnsiTheme="minorHAnsi" w:cstheme="minorHAnsi"/>
          <w:sz w:val="24"/>
          <w:szCs w:val="24"/>
        </w:rPr>
      </w:pPr>
    </w:p>
    <w:p w14:paraId="743C9644" w14:textId="77777777" w:rsidR="0056447B" w:rsidRPr="003E74C0" w:rsidRDefault="0056447B" w:rsidP="003E74C0">
      <w:pPr>
        <w:spacing w:after="160"/>
        <w:ind w:left="480"/>
        <w:jc w:val="left"/>
        <w:rPr>
          <w:rFonts w:asciiTheme="minorHAnsi" w:hAnsiTheme="minorHAnsi" w:cstheme="minorHAnsi"/>
          <w:sz w:val="24"/>
          <w:szCs w:val="24"/>
        </w:rPr>
      </w:pPr>
      <w:r w:rsidRPr="003E74C0">
        <w:rPr>
          <w:rFonts w:asciiTheme="minorHAnsi" w:hAnsiTheme="minorHAnsi" w:cstheme="minorHAnsi"/>
          <w:b/>
          <w:bCs/>
          <w:sz w:val="24"/>
          <w:szCs w:val="24"/>
        </w:rPr>
        <w:t xml:space="preserve">Pre-Approval Applications are </w:t>
      </w:r>
      <w:r w:rsidR="00811CCD" w:rsidRPr="003E74C0">
        <w:rPr>
          <w:rFonts w:asciiTheme="minorHAnsi" w:hAnsiTheme="minorHAnsi" w:cstheme="minorHAnsi"/>
          <w:b/>
          <w:bCs/>
          <w:sz w:val="24"/>
          <w:szCs w:val="24"/>
        </w:rPr>
        <w:t xml:space="preserve">required </w:t>
      </w:r>
      <w:r w:rsidRPr="003E74C0">
        <w:rPr>
          <w:rFonts w:asciiTheme="minorHAnsi" w:hAnsiTheme="minorHAnsi" w:cstheme="minorHAnsi"/>
          <w:b/>
          <w:bCs/>
          <w:sz w:val="24"/>
          <w:szCs w:val="24"/>
        </w:rPr>
        <w:t xml:space="preserve">for </w:t>
      </w:r>
      <w:r w:rsidR="00811CCD" w:rsidRPr="003E74C0">
        <w:rPr>
          <w:rFonts w:asciiTheme="minorHAnsi" w:hAnsiTheme="minorHAnsi" w:cstheme="minorHAnsi"/>
          <w:b/>
          <w:bCs/>
          <w:sz w:val="24"/>
          <w:szCs w:val="24"/>
        </w:rPr>
        <w:t>all projects</w:t>
      </w:r>
      <w:r w:rsidRPr="003E74C0">
        <w:rPr>
          <w:rFonts w:asciiTheme="minorHAnsi" w:hAnsiTheme="minorHAnsi" w:cstheme="minorHAnsi"/>
          <w:b/>
          <w:bCs/>
          <w:sz w:val="24"/>
          <w:szCs w:val="24"/>
        </w:rPr>
        <w:t>.</w:t>
      </w:r>
      <w:r w:rsidRPr="003E74C0">
        <w:rPr>
          <w:rFonts w:asciiTheme="minorHAnsi" w:hAnsiTheme="minorHAnsi" w:cstheme="minorHAnsi"/>
          <w:sz w:val="24"/>
          <w:szCs w:val="24"/>
        </w:rPr>
        <w:t xml:space="preserve"> Pre-Approval Applications do not guarantee project</w:t>
      </w:r>
      <w:r w:rsidR="00811CCD" w:rsidRPr="003E74C0">
        <w:rPr>
          <w:rFonts w:asciiTheme="minorHAnsi" w:hAnsiTheme="minorHAnsi" w:cstheme="minorHAnsi"/>
          <w:sz w:val="24"/>
          <w:szCs w:val="24"/>
        </w:rPr>
        <w:t xml:space="preserve"> funding approval </w:t>
      </w:r>
      <w:r w:rsidRPr="003E74C0">
        <w:rPr>
          <w:rFonts w:asciiTheme="minorHAnsi" w:hAnsiTheme="minorHAnsi" w:cstheme="minorHAnsi"/>
          <w:sz w:val="24"/>
          <w:szCs w:val="24"/>
        </w:rPr>
        <w:t xml:space="preserve">until program staff </w:t>
      </w:r>
      <w:r w:rsidR="00811CCD" w:rsidRPr="003E74C0">
        <w:rPr>
          <w:rFonts w:asciiTheme="minorHAnsi" w:hAnsiTheme="minorHAnsi" w:cstheme="minorHAnsi"/>
          <w:sz w:val="24"/>
          <w:szCs w:val="24"/>
        </w:rPr>
        <w:t>determines that</w:t>
      </w:r>
      <w:r w:rsidRPr="003E74C0">
        <w:rPr>
          <w:rFonts w:asciiTheme="minorHAnsi" w:hAnsiTheme="minorHAnsi" w:cstheme="minorHAnsi"/>
          <w:sz w:val="24"/>
          <w:szCs w:val="24"/>
        </w:rPr>
        <w:t xml:space="preserve"> project requirements are met and funds are </w:t>
      </w:r>
      <w:r w:rsidR="00811CCD" w:rsidRPr="003E74C0">
        <w:rPr>
          <w:rFonts w:asciiTheme="minorHAnsi" w:hAnsiTheme="minorHAnsi" w:cstheme="minorHAnsi"/>
          <w:sz w:val="24"/>
          <w:szCs w:val="24"/>
        </w:rPr>
        <w:t xml:space="preserve">available and reserved. </w:t>
      </w:r>
      <w:r w:rsidRPr="003E74C0">
        <w:rPr>
          <w:rFonts w:asciiTheme="minorHAnsi" w:hAnsiTheme="minorHAnsi" w:cstheme="minorHAnsi"/>
          <w:sz w:val="24"/>
          <w:szCs w:val="24"/>
        </w:rPr>
        <w:t xml:space="preserve">Installed measures must </w:t>
      </w:r>
      <w:r w:rsidR="00811CCD" w:rsidRPr="003E74C0">
        <w:rPr>
          <w:rFonts w:asciiTheme="minorHAnsi" w:hAnsiTheme="minorHAnsi" w:cstheme="minorHAnsi"/>
          <w:sz w:val="24"/>
          <w:szCs w:val="24"/>
        </w:rPr>
        <w:t xml:space="preserve">still </w:t>
      </w:r>
      <w:r w:rsidRPr="003E74C0">
        <w:rPr>
          <w:rFonts w:asciiTheme="minorHAnsi" w:hAnsiTheme="minorHAnsi" w:cstheme="minorHAnsi"/>
          <w:sz w:val="24"/>
          <w:szCs w:val="24"/>
        </w:rPr>
        <w:t xml:space="preserve">meet program requirements to qualify for </w:t>
      </w:r>
      <w:r w:rsidR="00811CCD" w:rsidRPr="003E74C0">
        <w:rPr>
          <w:rFonts w:asciiTheme="minorHAnsi" w:hAnsiTheme="minorHAnsi" w:cstheme="minorHAnsi"/>
          <w:sz w:val="24"/>
          <w:szCs w:val="24"/>
        </w:rPr>
        <w:t>rebates.</w:t>
      </w:r>
    </w:p>
    <w:p w14:paraId="535DB56C" w14:textId="77777777" w:rsidR="0056447B" w:rsidRPr="003E74C0" w:rsidRDefault="0056447B" w:rsidP="0056447B">
      <w:pPr>
        <w:numPr>
          <w:ilvl w:val="0"/>
          <w:numId w:val="26"/>
        </w:numPr>
        <w:jc w:val="left"/>
        <w:rPr>
          <w:rFonts w:asciiTheme="minorHAnsi" w:hAnsiTheme="minorHAnsi" w:cstheme="minorHAnsi"/>
          <w:sz w:val="24"/>
          <w:szCs w:val="24"/>
        </w:rPr>
      </w:pPr>
      <w:r w:rsidRPr="003E74C0">
        <w:rPr>
          <w:rFonts w:asciiTheme="minorHAnsi" w:hAnsiTheme="minorHAnsi" w:cstheme="minorHAnsi"/>
          <w:sz w:val="24"/>
          <w:szCs w:val="24"/>
        </w:rPr>
        <w:t xml:space="preserve">Pre-Approval Applications must include sufficient project information (equipment specifications, quantities, etc.) to </w:t>
      </w:r>
      <w:r w:rsidR="00FC6FD5" w:rsidRPr="003E74C0">
        <w:rPr>
          <w:rFonts w:asciiTheme="minorHAnsi" w:hAnsiTheme="minorHAnsi" w:cstheme="minorHAnsi"/>
          <w:sz w:val="24"/>
          <w:szCs w:val="24"/>
        </w:rPr>
        <w:t>estimate the amount of rebate funding that should be reserved to support the project.</w:t>
      </w:r>
      <w:r w:rsidRPr="003E74C0">
        <w:rPr>
          <w:rFonts w:asciiTheme="minorHAnsi" w:hAnsiTheme="minorHAnsi" w:cstheme="minorHAnsi"/>
          <w:sz w:val="24"/>
          <w:szCs w:val="24"/>
        </w:rPr>
        <w:t xml:space="preserve"> Failure to provide this information will result in the application being cancelled. </w:t>
      </w:r>
    </w:p>
    <w:p w14:paraId="4D05E0DA" w14:textId="77777777" w:rsidR="0056447B" w:rsidRPr="003E74C0" w:rsidRDefault="0056447B" w:rsidP="0056447B">
      <w:pPr>
        <w:numPr>
          <w:ilvl w:val="0"/>
          <w:numId w:val="26"/>
        </w:numPr>
        <w:jc w:val="left"/>
        <w:rPr>
          <w:rFonts w:asciiTheme="minorHAnsi" w:hAnsiTheme="minorHAnsi" w:cstheme="minorHAnsi"/>
          <w:b/>
          <w:bCs/>
          <w:sz w:val="24"/>
          <w:szCs w:val="24"/>
        </w:rPr>
      </w:pPr>
      <w:r w:rsidRPr="003E74C0">
        <w:rPr>
          <w:rFonts w:asciiTheme="minorHAnsi" w:hAnsiTheme="minorHAnsi" w:cstheme="minorHAnsi"/>
          <w:b/>
          <w:bCs/>
          <w:sz w:val="24"/>
          <w:szCs w:val="24"/>
        </w:rPr>
        <w:t>The Pre-Approval Application requires a customer signature.</w:t>
      </w:r>
    </w:p>
    <w:p w14:paraId="758FE542" w14:textId="77777777" w:rsidR="00FC6FD5" w:rsidRPr="003E74C0" w:rsidRDefault="00FC6FD5" w:rsidP="00FC6FD5">
      <w:pPr>
        <w:numPr>
          <w:ilvl w:val="0"/>
          <w:numId w:val="26"/>
        </w:numPr>
        <w:jc w:val="left"/>
        <w:rPr>
          <w:rFonts w:asciiTheme="minorHAnsi" w:hAnsiTheme="minorHAnsi" w:cstheme="minorHAnsi"/>
          <w:sz w:val="24"/>
          <w:szCs w:val="24"/>
        </w:rPr>
      </w:pPr>
      <w:r w:rsidRPr="003E74C0">
        <w:rPr>
          <w:rFonts w:asciiTheme="minorHAnsi" w:hAnsiTheme="minorHAnsi" w:cstheme="minorHAnsi"/>
          <w:sz w:val="24"/>
          <w:szCs w:val="24"/>
        </w:rPr>
        <w:t xml:space="preserve">Pre-Approval Applications may be submitted by email or U.S. </w:t>
      </w:r>
      <w:r w:rsidR="00E95D4E" w:rsidRPr="003E74C0">
        <w:rPr>
          <w:rFonts w:asciiTheme="minorHAnsi" w:hAnsiTheme="minorHAnsi" w:cstheme="minorHAnsi"/>
          <w:sz w:val="24"/>
          <w:szCs w:val="24"/>
        </w:rPr>
        <w:t>m</w:t>
      </w:r>
      <w:r w:rsidRPr="003E74C0">
        <w:rPr>
          <w:rFonts w:asciiTheme="minorHAnsi" w:hAnsiTheme="minorHAnsi" w:cstheme="minorHAnsi"/>
          <w:sz w:val="24"/>
          <w:szCs w:val="24"/>
        </w:rPr>
        <w:t>ail. Applicants will receive an email confirming that their application has been received and whether any additional documentation is required.</w:t>
      </w:r>
    </w:p>
    <w:p w14:paraId="2C5AFB8E" w14:textId="77777777" w:rsidR="0056447B" w:rsidRPr="003E74C0" w:rsidRDefault="00FC6FD5" w:rsidP="0056447B">
      <w:pPr>
        <w:numPr>
          <w:ilvl w:val="0"/>
          <w:numId w:val="26"/>
        </w:numPr>
        <w:jc w:val="left"/>
        <w:rPr>
          <w:rFonts w:asciiTheme="minorHAnsi" w:hAnsiTheme="minorHAnsi" w:cstheme="minorHAnsi"/>
          <w:sz w:val="24"/>
          <w:szCs w:val="24"/>
        </w:rPr>
      </w:pPr>
      <w:r w:rsidRPr="003E74C0">
        <w:rPr>
          <w:rFonts w:asciiTheme="minorHAnsi" w:hAnsiTheme="minorHAnsi" w:cstheme="minorHAnsi"/>
          <w:sz w:val="24"/>
          <w:szCs w:val="24"/>
        </w:rPr>
        <w:t xml:space="preserve">Only after </w:t>
      </w:r>
      <w:r w:rsidR="0056447B" w:rsidRPr="003E74C0">
        <w:rPr>
          <w:rFonts w:asciiTheme="minorHAnsi" w:hAnsiTheme="minorHAnsi" w:cstheme="minorHAnsi"/>
          <w:sz w:val="24"/>
          <w:szCs w:val="24"/>
        </w:rPr>
        <w:t>the application is reviewed and approved</w:t>
      </w:r>
      <w:r w:rsidRPr="003E74C0">
        <w:rPr>
          <w:rFonts w:asciiTheme="minorHAnsi" w:hAnsiTheme="minorHAnsi" w:cstheme="minorHAnsi"/>
          <w:sz w:val="24"/>
          <w:szCs w:val="24"/>
        </w:rPr>
        <w:t xml:space="preserve"> will </w:t>
      </w:r>
      <w:r w:rsidR="0056447B" w:rsidRPr="003E74C0">
        <w:rPr>
          <w:rFonts w:asciiTheme="minorHAnsi" w:hAnsiTheme="minorHAnsi" w:cstheme="minorHAnsi"/>
          <w:sz w:val="24"/>
          <w:szCs w:val="24"/>
        </w:rPr>
        <w:t>incentive funds be reserved. Addition</w:t>
      </w:r>
      <w:r w:rsidR="00F3190D" w:rsidRPr="003E74C0">
        <w:rPr>
          <w:rFonts w:asciiTheme="minorHAnsi" w:hAnsiTheme="minorHAnsi" w:cstheme="minorHAnsi"/>
          <w:sz w:val="24"/>
          <w:szCs w:val="24"/>
        </w:rPr>
        <w:t>al</w:t>
      </w:r>
      <w:r w:rsidR="00396C50" w:rsidRPr="003E74C0">
        <w:rPr>
          <w:rFonts w:asciiTheme="minorHAnsi" w:hAnsiTheme="minorHAnsi" w:cstheme="minorHAnsi"/>
          <w:sz w:val="24"/>
          <w:szCs w:val="24"/>
        </w:rPr>
        <w:t xml:space="preserve"> reservation</w:t>
      </w:r>
      <w:r w:rsidR="00F3190D" w:rsidRPr="003E74C0">
        <w:rPr>
          <w:rFonts w:asciiTheme="minorHAnsi" w:hAnsiTheme="minorHAnsi" w:cstheme="minorHAnsi"/>
          <w:sz w:val="24"/>
          <w:szCs w:val="24"/>
        </w:rPr>
        <w:t xml:space="preserve"> details are listed within Step 2:</w:t>
      </w:r>
      <w:r w:rsidR="0056447B" w:rsidRPr="003E74C0">
        <w:rPr>
          <w:rFonts w:asciiTheme="minorHAnsi" w:hAnsiTheme="minorHAnsi" w:cstheme="minorHAnsi"/>
          <w:sz w:val="24"/>
          <w:szCs w:val="24"/>
        </w:rPr>
        <w:t xml:space="preserve"> Reservation.</w:t>
      </w:r>
    </w:p>
    <w:p w14:paraId="397143B0" w14:textId="77777777" w:rsidR="0056447B" w:rsidRPr="003E74C0" w:rsidRDefault="0056447B" w:rsidP="0056447B">
      <w:pPr>
        <w:jc w:val="left"/>
        <w:rPr>
          <w:rFonts w:asciiTheme="minorHAnsi" w:hAnsiTheme="minorHAnsi" w:cstheme="minorHAnsi"/>
          <w:sz w:val="24"/>
          <w:szCs w:val="24"/>
        </w:rPr>
      </w:pPr>
    </w:p>
    <w:p w14:paraId="493E8D41" w14:textId="77777777" w:rsidR="0056447B" w:rsidRPr="003E74C0" w:rsidRDefault="0056447B" w:rsidP="003E74C0">
      <w:pPr>
        <w:ind w:left="480"/>
        <w:jc w:val="left"/>
        <w:rPr>
          <w:rFonts w:asciiTheme="minorHAnsi" w:hAnsiTheme="minorHAnsi" w:cstheme="minorHAnsi"/>
          <w:sz w:val="24"/>
          <w:szCs w:val="24"/>
        </w:rPr>
      </w:pPr>
      <w:r w:rsidRPr="003E74C0">
        <w:rPr>
          <w:rFonts w:asciiTheme="minorHAnsi" w:hAnsiTheme="minorHAnsi" w:cstheme="minorHAnsi"/>
          <w:sz w:val="24"/>
          <w:szCs w:val="24"/>
        </w:rPr>
        <w:t xml:space="preserve">A </w:t>
      </w:r>
      <w:r w:rsidRPr="003E74C0">
        <w:rPr>
          <w:rFonts w:asciiTheme="minorHAnsi" w:hAnsiTheme="minorHAnsi" w:cstheme="minorHAnsi"/>
          <w:b/>
          <w:sz w:val="24"/>
          <w:szCs w:val="24"/>
        </w:rPr>
        <w:t>Pre-Approval Application</w:t>
      </w:r>
      <w:r w:rsidRPr="003E74C0">
        <w:rPr>
          <w:rFonts w:asciiTheme="minorHAnsi" w:hAnsiTheme="minorHAnsi" w:cstheme="minorHAnsi"/>
          <w:sz w:val="24"/>
          <w:szCs w:val="24"/>
        </w:rPr>
        <w:t xml:space="preserve"> </w:t>
      </w:r>
      <w:r w:rsidR="001C1DBF" w:rsidRPr="003E74C0">
        <w:rPr>
          <w:rFonts w:asciiTheme="minorHAnsi" w:hAnsiTheme="minorHAnsi" w:cstheme="minorHAnsi"/>
          <w:sz w:val="24"/>
          <w:szCs w:val="24"/>
        </w:rPr>
        <w:t>reserves</w:t>
      </w:r>
      <w:r w:rsidRPr="003E74C0">
        <w:rPr>
          <w:rFonts w:asciiTheme="minorHAnsi" w:hAnsiTheme="minorHAnsi" w:cstheme="minorHAnsi"/>
          <w:sz w:val="24"/>
          <w:szCs w:val="24"/>
        </w:rPr>
        <w:t xml:space="preserve"> funds for projects that meet th</w:t>
      </w:r>
      <w:r w:rsidR="00FC6FD5" w:rsidRPr="003E74C0">
        <w:rPr>
          <w:rFonts w:asciiTheme="minorHAnsi" w:hAnsiTheme="minorHAnsi" w:cstheme="minorHAnsi"/>
          <w:sz w:val="24"/>
          <w:szCs w:val="24"/>
        </w:rPr>
        <w:t>ese r</w:t>
      </w:r>
      <w:r w:rsidRPr="003E74C0">
        <w:rPr>
          <w:rFonts w:asciiTheme="minorHAnsi" w:hAnsiTheme="minorHAnsi" w:cstheme="minorHAnsi"/>
          <w:sz w:val="24"/>
          <w:szCs w:val="24"/>
        </w:rPr>
        <w:t>equirements:</w:t>
      </w:r>
    </w:p>
    <w:p w14:paraId="7FBDDA0A" w14:textId="77777777" w:rsidR="0056447B" w:rsidRPr="003E74C0" w:rsidRDefault="0056447B" w:rsidP="0056447B">
      <w:pPr>
        <w:jc w:val="left"/>
        <w:rPr>
          <w:rFonts w:asciiTheme="minorHAnsi" w:hAnsiTheme="minorHAnsi" w:cstheme="minorHAnsi"/>
          <w:sz w:val="24"/>
          <w:szCs w:val="24"/>
        </w:rPr>
      </w:pPr>
    </w:p>
    <w:p w14:paraId="3162B343" w14:textId="77777777" w:rsidR="0056447B" w:rsidRPr="003E74C0" w:rsidRDefault="0056447B" w:rsidP="0056447B">
      <w:pPr>
        <w:numPr>
          <w:ilvl w:val="3"/>
          <w:numId w:val="27"/>
        </w:numPr>
        <w:jc w:val="left"/>
        <w:rPr>
          <w:rFonts w:asciiTheme="minorHAnsi" w:hAnsiTheme="minorHAnsi" w:cstheme="minorHAnsi"/>
          <w:sz w:val="24"/>
          <w:szCs w:val="24"/>
        </w:rPr>
      </w:pPr>
      <w:r w:rsidRPr="003E74C0">
        <w:rPr>
          <w:rFonts w:asciiTheme="minorHAnsi" w:hAnsiTheme="minorHAnsi" w:cstheme="minorHAnsi"/>
          <w:sz w:val="24"/>
          <w:szCs w:val="24"/>
        </w:rPr>
        <w:t xml:space="preserve">Measures </w:t>
      </w:r>
      <w:r w:rsidR="00FC6FD5" w:rsidRPr="003E74C0">
        <w:rPr>
          <w:rFonts w:asciiTheme="minorHAnsi" w:hAnsiTheme="minorHAnsi" w:cstheme="minorHAnsi"/>
          <w:sz w:val="24"/>
          <w:szCs w:val="24"/>
        </w:rPr>
        <w:t>are</w:t>
      </w:r>
      <w:r w:rsidRPr="003E74C0">
        <w:rPr>
          <w:rFonts w:asciiTheme="minorHAnsi" w:hAnsiTheme="minorHAnsi" w:cstheme="minorHAnsi"/>
          <w:sz w:val="24"/>
          <w:szCs w:val="24"/>
        </w:rPr>
        <w:t xml:space="preserve"> fully installed and </w:t>
      </w:r>
      <w:r w:rsidR="00FC6FD5" w:rsidRPr="003E74C0">
        <w:rPr>
          <w:rFonts w:asciiTheme="minorHAnsi" w:hAnsiTheme="minorHAnsi" w:cstheme="minorHAnsi"/>
          <w:sz w:val="24"/>
          <w:szCs w:val="24"/>
        </w:rPr>
        <w:t xml:space="preserve">the project is completed </w:t>
      </w:r>
      <w:r w:rsidRPr="003E74C0">
        <w:rPr>
          <w:rFonts w:asciiTheme="minorHAnsi" w:hAnsiTheme="minorHAnsi" w:cstheme="minorHAnsi"/>
          <w:sz w:val="24"/>
          <w:szCs w:val="24"/>
        </w:rPr>
        <w:t xml:space="preserve">within 90 days of </w:t>
      </w:r>
      <w:r w:rsidR="00FC6FD5" w:rsidRPr="003E74C0">
        <w:rPr>
          <w:rFonts w:asciiTheme="minorHAnsi" w:hAnsiTheme="minorHAnsi" w:cstheme="minorHAnsi"/>
          <w:sz w:val="24"/>
          <w:szCs w:val="24"/>
        </w:rPr>
        <w:t>receiving a notice of reservation for project funding.</w:t>
      </w:r>
      <w:r w:rsidRPr="003E74C0">
        <w:rPr>
          <w:rFonts w:asciiTheme="minorHAnsi" w:hAnsiTheme="minorHAnsi" w:cstheme="minorHAnsi"/>
          <w:sz w:val="24"/>
          <w:szCs w:val="24"/>
        </w:rPr>
        <w:t xml:space="preserve"> </w:t>
      </w:r>
    </w:p>
    <w:p w14:paraId="3283CE1C" w14:textId="77777777" w:rsidR="0056447B" w:rsidRPr="003E74C0" w:rsidRDefault="0056447B" w:rsidP="0056447B">
      <w:pPr>
        <w:numPr>
          <w:ilvl w:val="3"/>
          <w:numId w:val="27"/>
        </w:numPr>
        <w:jc w:val="left"/>
        <w:rPr>
          <w:rFonts w:asciiTheme="minorHAnsi" w:hAnsiTheme="minorHAnsi" w:cstheme="minorHAnsi"/>
          <w:sz w:val="24"/>
          <w:szCs w:val="24"/>
        </w:rPr>
      </w:pPr>
      <w:r w:rsidRPr="003E74C0">
        <w:rPr>
          <w:rFonts w:asciiTheme="minorHAnsi" w:hAnsiTheme="minorHAnsi" w:cstheme="minorHAnsi"/>
          <w:sz w:val="24"/>
          <w:szCs w:val="24"/>
        </w:rPr>
        <w:t xml:space="preserve">Work commences within 30 days of </w:t>
      </w:r>
      <w:r w:rsidR="00FC6FD5" w:rsidRPr="003E74C0">
        <w:rPr>
          <w:rFonts w:asciiTheme="minorHAnsi" w:hAnsiTheme="minorHAnsi" w:cstheme="minorHAnsi"/>
          <w:sz w:val="24"/>
          <w:szCs w:val="24"/>
        </w:rPr>
        <w:t xml:space="preserve">the funding </w:t>
      </w:r>
      <w:r w:rsidRPr="003E74C0">
        <w:rPr>
          <w:rFonts w:asciiTheme="minorHAnsi" w:hAnsiTheme="minorHAnsi" w:cstheme="minorHAnsi"/>
          <w:sz w:val="24"/>
          <w:szCs w:val="24"/>
        </w:rPr>
        <w:t>reservation</w:t>
      </w:r>
      <w:r w:rsidR="00FC6FD5" w:rsidRPr="003E74C0">
        <w:rPr>
          <w:rFonts w:asciiTheme="minorHAnsi" w:hAnsiTheme="minorHAnsi" w:cstheme="minorHAnsi"/>
          <w:sz w:val="24"/>
          <w:szCs w:val="24"/>
        </w:rPr>
        <w:t xml:space="preserve"> notification</w:t>
      </w:r>
      <w:r w:rsidRPr="003E74C0">
        <w:rPr>
          <w:rFonts w:asciiTheme="minorHAnsi" w:hAnsiTheme="minorHAnsi" w:cstheme="minorHAnsi"/>
          <w:sz w:val="24"/>
          <w:szCs w:val="24"/>
        </w:rPr>
        <w:t>.</w:t>
      </w:r>
    </w:p>
    <w:p w14:paraId="0586C791" w14:textId="77777777" w:rsidR="0056447B" w:rsidRPr="003E74C0" w:rsidRDefault="00F77FCE" w:rsidP="00CA2715">
      <w:pPr>
        <w:numPr>
          <w:ilvl w:val="3"/>
          <w:numId w:val="27"/>
        </w:numPr>
        <w:jc w:val="left"/>
        <w:rPr>
          <w:rFonts w:asciiTheme="minorHAnsi" w:hAnsiTheme="minorHAnsi" w:cstheme="minorHAnsi"/>
          <w:sz w:val="24"/>
          <w:szCs w:val="24"/>
        </w:rPr>
      </w:pPr>
      <w:r w:rsidRPr="003E74C0">
        <w:rPr>
          <w:rFonts w:asciiTheme="minorHAnsi" w:hAnsiTheme="minorHAnsi" w:cstheme="minorHAnsi"/>
          <w:sz w:val="24"/>
          <w:szCs w:val="24"/>
        </w:rPr>
        <w:t xml:space="preserve">Measures are determined to be within the program requirements. </w:t>
      </w:r>
      <w:r w:rsidR="0056447B" w:rsidRPr="003E74C0">
        <w:rPr>
          <w:rFonts w:asciiTheme="minorHAnsi" w:hAnsiTheme="minorHAnsi" w:cstheme="minorHAnsi"/>
          <w:sz w:val="24"/>
          <w:szCs w:val="24"/>
        </w:rPr>
        <w:t xml:space="preserve"> </w:t>
      </w:r>
    </w:p>
    <w:p w14:paraId="1EA2AC6B" w14:textId="77777777" w:rsidR="00F77FCE" w:rsidRPr="003E74C0" w:rsidRDefault="00F77FCE" w:rsidP="0056447B">
      <w:pPr>
        <w:jc w:val="left"/>
        <w:rPr>
          <w:rFonts w:asciiTheme="minorHAnsi" w:hAnsiTheme="minorHAnsi" w:cstheme="minorHAnsi"/>
          <w:sz w:val="24"/>
          <w:szCs w:val="24"/>
        </w:rPr>
      </w:pPr>
    </w:p>
    <w:p w14:paraId="61BD34D3" w14:textId="77777777" w:rsidR="0056447B" w:rsidRPr="003E74C0" w:rsidRDefault="0056447B" w:rsidP="003E74C0">
      <w:pPr>
        <w:ind w:left="480"/>
        <w:jc w:val="left"/>
        <w:rPr>
          <w:rFonts w:asciiTheme="minorHAnsi" w:hAnsiTheme="minorHAnsi" w:cstheme="minorHAnsi"/>
          <w:sz w:val="24"/>
          <w:szCs w:val="24"/>
        </w:rPr>
      </w:pPr>
      <w:r w:rsidRPr="003E74C0">
        <w:rPr>
          <w:rFonts w:asciiTheme="minorHAnsi" w:hAnsiTheme="minorHAnsi" w:cstheme="minorHAnsi"/>
          <w:sz w:val="24"/>
          <w:szCs w:val="24"/>
        </w:rPr>
        <w:t xml:space="preserve">An onsite pre-inspection may be required prior to the installation of equipment. </w:t>
      </w:r>
    </w:p>
    <w:p w14:paraId="32A06615" w14:textId="77777777" w:rsidR="0056447B" w:rsidRPr="003E74C0" w:rsidRDefault="0056447B" w:rsidP="0056447B">
      <w:pPr>
        <w:jc w:val="left"/>
        <w:rPr>
          <w:rFonts w:asciiTheme="minorHAnsi" w:hAnsiTheme="minorHAnsi" w:cstheme="minorHAnsi"/>
          <w:sz w:val="24"/>
          <w:szCs w:val="24"/>
        </w:rPr>
      </w:pPr>
    </w:p>
    <w:p w14:paraId="4E790EE4" w14:textId="77777777" w:rsidR="0056447B" w:rsidRPr="003E74C0" w:rsidRDefault="0056447B" w:rsidP="003E74C0">
      <w:pPr>
        <w:ind w:left="480"/>
        <w:jc w:val="left"/>
        <w:rPr>
          <w:rFonts w:asciiTheme="minorHAnsi" w:hAnsiTheme="minorHAnsi" w:cstheme="minorHAnsi"/>
          <w:sz w:val="24"/>
          <w:szCs w:val="24"/>
        </w:rPr>
      </w:pPr>
      <w:r w:rsidRPr="003E74C0">
        <w:rPr>
          <w:rFonts w:asciiTheme="minorHAnsi" w:hAnsiTheme="minorHAnsi" w:cstheme="minorHAnsi"/>
          <w:sz w:val="24"/>
          <w:szCs w:val="24"/>
        </w:rPr>
        <w:t xml:space="preserve">Businesses with multiple locations in the </w:t>
      </w:r>
      <w:r w:rsidR="00856B2D" w:rsidRPr="003E74C0">
        <w:rPr>
          <w:rFonts w:asciiTheme="minorHAnsi" w:hAnsiTheme="minorHAnsi" w:cstheme="minorHAnsi"/>
          <w:sz w:val="24"/>
          <w:szCs w:val="24"/>
        </w:rPr>
        <w:t>UES gas</w:t>
      </w:r>
      <w:r w:rsidRPr="003E74C0">
        <w:rPr>
          <w:rFonts w:asciiTheme="minorHAnsi" w:hAnsiTheme="minorHAnsi" w:cstheme="minorHAnsi"/>
          <w:sz w:val="24"/>
          <w:szCs w:val="24"/>
        </w:rPr>
        <w:t xml:space="preserve"> service territory may submit one application for all locations or may send applications for different projects at different times. If a project includes multiple sites, </w:t>
      </w:r>
      <w:r w:rsidR="00F77FCE" w:rsidRPr="003E74C0">
        <w:rPr>
          <w:rFonts w:asciiTheme="minorHAnsi" w:hAnsiTheme="minorHAnsi" w:cstheme="minorHAnsi"/>
          <w:sz w:val="24"/>
          <w:szCs w:val="24"/>
        </w:rPr>
        <w:t xml:space="preserve">applicants must </w:t>
      </w:r>
      <w:r w:rsidRPr="003E74C0">
        <w:rPr>
          <w:rFonts w:asciiTheme="minorHAnsi" w:hAnsiTheme="minorHAnsi" w:cstheme="minorHAnsi"/>
          <w:sz w:val="24"/>
          <w:szCs w:val="24"/>
        </w:rPr>
        <w:t>attach a list of all site addresses, corresponding account numbers, and appropriate contact information along with the signed pre-notification application. Each location will require individual measure worksheets to be completed.</w:t>
      </w:r>
    </w:p>
    <w:p w14:paraId="153D23D0" w14:textId="77777777" w:rsidR="0056447B" w:rsidRPr="003E74C0" w:rsidRDefault="0056447B" w:rsidP="003E74C0">
      <w:pPr>
        <w:ind w:left="480"/>
        <w:jc w:val="left"/>
        <w:rPr>
          <w:rFonts w:asciiTheme="minorHAnsi" w:hAnsiTheme="minorHAnsi" w:cstheme="minorHAnsi"/>
          <w:sz w:val="24"/>
          <w:szCs w:val="24"/>
        </w:rPr>
      </w:pPr>
    </w:p>
    <w:p w14:paraId="65939403" w14:textId="77777777" w:rsidR="00032ACF" w:rsidRPr="003E74C0" w:rsidRDefault="0056447B" w:rsidP="003E74C0">
      <w:pPr>
        <w:ind w:left="480"/>
        <w:jc w:val="left"/>
        <w:rPr>
          <w:rFonts w:asciiTheme="minorHAnsi" w:hAnsiTheme="minorHAnsi" w:cstheme="minorHAnsi"/>
          <w:sz w:val="24"/>
          <w:szCs w:val="24"/>
        </w:rPr>
      </w:pPr>
      <w:r w:rsidRPr="003E74C0">
        <w:rPr>
          <w:rFonts w:asciiTheme="minorHAnsi" w:hAnsiTheme="minorHAnsi" w:cstheme="minorHAnsi"/>
          <w:sz w:val="24"/>
          <w:szCs w:val="24"/>
        </w:rPr>
        <w:t>Multiple copies of the measure worksheets may be submitted if additional space is needed. Please indicate whether additional pages are included when you send in your completed application.</w:t>
      </w:r>
      <w:r w:rsidR="00032ACF" w:rsidRPr="003E74C0">
        <w:rPr>
          <w:rFonts w:asciiTheme="minorHAnsi" w:hAnsiTheme="minorHAnsi" w:cstheme="minorHAnsi"/>
          <w:sz w:val="24"/>
          <w:szCs w:val="24"/>
        </w:rPr>
        <w:t xml:space="preserve"> Only complete and submitted applications will be considered for reserved funding. </w:t>
      </w:r>
    </w:p>
    <w:p w14:paraId="69A232CB" w14:textId="77777777" w:rsidR="00032ACF" w:rsidRPr="003E74C0" w:rsidRDefault="00032ACF" w:rsidP="003E74C0">
      <w:pPr>
        <w:ind w:left="480"/>
        <w:jc w:val="left"/>
        <w:rPr>
          <w:rFonts w:asciiTheme="minorHAnsi" w:hAnsiTheme="minorHAnsi" w:cstheme="minorHAnsi"/>
          <w:sz w:val="24"/>
          <w:szCs w:val="24"/>
        </w:rPr>
      </w:pPr>
    </w:p>
    <w:p w14:paraId="0E8391AE" w14:textId="77777777" w:rsidR="001B4F24" w:rsidRPr="003E74C0" w:rsidRDefault="00032ACF" w:rsidP="003E74C0">
      <w:pPr>
        <w:ind w:left="480"/>
        <w:jc w:val="left"/>
        <w:rPr>
          <w:rFonts w:asciiTheme="minorHAnsi" w:hAnsiTheme="minorHAnsi" w:cstheme="minorHAnsi"/>
          <w:sz w:val="24"/>
          <w:szCs w:val="24"/>
        </w:rPr>
      </w:pPr>
      <w:r w:rsidRPr="003E74C0">
        <w:rPr>
          <w:rFonts w:asciiTheme="minorHAnsi" w:hAnsiTheme="minorHAnsi" w:cstheme="minorHAnsi"/>
          <w:sz w:val="24"/>
          <w:szCs w:val="24"/>
        </w:rPr>
        <w:t>Applicants will be notified if additional information is needed and must respond within 10 business days or the Pre-Approval Application will be rejected</w:t>
      </w:r>
      <w:r w:rsidR="0056447B" w:rsidRPr="003E74C0">
        <w:rPr>
          <w:rFonts w:asciiTheme="minorHAnsi" w:hAnsiTheme="minorHAnsi" w:cstheme="minorHAnsi"/>
          <w:sz w:val="24"/>
          <w:szCs w:val="24"/>
        </w:rPr>
        <w:t>.</w:t>
      </w:r>
      <w:r w:rsidRPr="003E74C0">
        <w:rPr>
          <w:rFonts w:asciiTheme="minorHAnsi" w:hAnsiTheme="minorHAnsi" w:cstheme="minorHAnsi"/>
          <w:sz w:val="24"/>
          <w:szCs w:val="24"/>
        </w:rPr>
        <w:t xml:space="preserve"> Customers</w:t>
      </w:r>
      <w:r w:rsidR="00CA0332" w:rsidRPr="003E74C0">
        <w:rPr>
          <w:rFonts w:asciiTheme="minorHAnsi" w:hAnsiTheme="minorHAnsi" w:cstheme="minorHAnsi"/>
          <w:sz w:val="24"/>
          <w:szCs w:val="24"/>
        </w:rPr>
        <w:t xml:space="preserve"> who submit requested information after</w:t>
      </w:r>
      <w:r w:rsidRPr="003E74C0">
        <w:rPr>
          <w:rFonts w:asciiTheme="minorHAnsi" w:hAnsiTheme="minorHAnsi" w:cstheme="minorHAnsi"/>
          <w:sz w:val="24"/>
          <w:szCs w:val="24"/>
        </w:rPr>
        <w:t xml:space="preserve"> 10 business days will be considered </w:t>
      </w:r>
      <w:r w:rsidR="00CA0332" w:rsidRPr="003E74C0">
        <w:rPr>
          <w:rFonts w:asciiTheme="minorHAnsi" w:hAnsiTheme="minorHAnsi" w:cstheme="minorHAnsi"/>
          <w:sz w:val="24"/>
          <w:szCs w:val="24"/>
        </w:rPr>
        <w:t>a new applicant</w:t>
      </w:r>
      <w:r w:rsidRPr="003E74C0">
        <w:rPr>
          <w:rFonts w:asciiTheme="minorHAnsi" w:hAnsiTheme="minorHAnsi" w:cstheme="minorHAnsi"/>
          <w:sz w:val="24"/>
          <w:szCs w:val="24"/>
        </w:rPr>
        <w:t xml:space="preserve">. </w:t>
      </w:r>
      <w:r w:rsidR="0056447B" w:rsidRPr="003E74C0">
        <w:rPr>
          <w:rFonts w:asciiTheme="minorHAnsi" w:hAnsiTheme="minorHAnsi" w:cstheme="minorHAnsi"/>
          <w:sz w:val="24"/>
          <w:szCs w:val="24"/>
        </w:rPr>
        <w:t xml:space="preserve"> </w:t>
      </w:r>
    </w:p>
    <w:p w14:paraId="68788452" w14:textId="77777777" w:rsidR="001B4F24" w:rsidRPr="003E74C0" w:rsidRDefault="001B4F24" w:rsidP="003E74C0">
      <w:pPr>
        <w:ind w:left="480"/>
        <w:jc w:val="left"/>
        <w:rPr>
          <w:rFonts w:asciiTheme="minorHAnsi" w:hAnsiTheme="minorHAnsi" w:cstheme="minorHAnsi"/>
          <w:sz w:val="24"/>
          <w:szCs w:val="24"/>
        </w:rPr>
      </w:pPr>
    </w:p>
    <w:p w14:paraId="72791BE5" w14:textId="77777777" w:rsidR="00396C50" w:rsidRPr="003E74C0" w:rsidRDefault="009B2435" w:rsidP="003E74C0">
      <w:pPr>
        <w:ind w:left="480"/>
        <w:jc w:val="left"/>
        <w:rPr>
          <w:rFonts w:asciiTheme="minorHAnsi" w:hAnsiTheme="minorHAnsi" w:cstheme="minorHAnsi"/>
          <w:i/>
          <w:sz w:val="24"/>
          <w:szCs w:val="24"/>
        </w:rPr>
      </w:pPr>
      <w:r>
        <w:rPr>
          <w:rFonts w:asciiTheme="minorHAnsi" w:hAnsiTheme="minorHAnsi" w:cstheme="minorHAnsi"/>
          <w:b/>
          <w:sz w:val="24"/>
          <w:szCs w:val="24"/>
        </w:rPr>
        <w:t xml:space="preserve">IMPORTANT: </w:t>
      </w:r>
      <w:r w:rsidR="001B4F24" w:rsidRPr="003E74C0">
        <w:rPr>
          <w:rFonts w:asciiTheme="minorHAnsi" w:hAnsiTheme="minorHAnsi" w:cstheme="minorHAnsi"/>
          <w:i/>
          <w:sz w:val="24"/>
          <w:szCs w:val="24"/>
        </w:rPr>
        <w:t xml:space="preserve">Work should not commence until the applicant receives a notice of reserved funding. </w:t>
      </w:r>
      <w:r w:rsidR="0056447B" w:rsidRPr="003E74C0">
        <w:rPr>
          <w:rFonts w:asciiTheme="minorHAnsi" w:hAnsiTheme="minorHAnsi" w:cstheme="minorHAnsi"/>
          <w:i/>
          <w:sz w:val="24"/>
          <w:szCs w:val="24"/>
        </w:rPr>
        <w:t xml:space="preserve">There is </w:t>
      </w:r>
      <w:r w:rsidR="00CA0332" w:rsidRPr="003E74C0">
        <w:rPr>
          <w:rFonts w:asciiTheme="minorHAnsi" w:hAnsiTheme="minorHAnsi" w:cstheme="minorHAnsi"/>
          <w:i/>
          <w:sz w:val="24"/>
          <w:szCs w:val="24"/>
        </w:rPr>
        <w:t>no guarantee</w:t>
      </w:r>
      <w:r w:rsidR="0056447B" w:rsidRPr="003E74C0">
        <w:rPr>
          <w:rFonts w:asciiTheme="minorHAnsi" w:hAnsiTheme="minorHAnsi" w:cstheme="minorHAnsi"/>
          <w:i/>
          <w:sz w:val="24"/>
          <w:szCs w:val="24"/>
        </w:rPr>
        <w:t xml:space="preserve"> that incentives will be available upon submission of a new application.</w:t>
      </w:r>
      <w:r w:rsidR="001B4F24" w:rsidRPr="003E74C0">
        <w:rPr>
          <w:rFonts w:asciiTheme="minorHAnsi" w:hAnsiTheme="minorHAnsi" w:cstheme="minorHAnsi"/>
          <w:i/>
          <w:sz w:val="24"/>
          <w:szCs w:val="24"/>
        </w:rPr>
        <w:t xml:space="preserve"> </w:t>
      </w:r>
    </w:p>
    <w:p w14:paraId="2B3025CA" w14:textId="77777777" w:rsidR="0056447B" w:rsidRPr="003E74C0" w:rsidRDefault="0056447B" w:rsidP="0056447B">
      <w:pPr>
        <w:jc w:val="left"/>
        <w:rPr>
          <w:rFonts w:asciiTheme="minorHAnsi" w:hAnsiTheme="minorHAnsi" w:cstheme="minorHAnsi"/>
          <w:sz w:val="24"/>
          <w:szCs w:val="24"/>
        </w:rPr>
      </w:pPr>
    </w:p>
    <w:p w14:paraId="71268B20" w14:textId="77777777" w:rsidR="0056447B" w:rsidRPr="003E74C0" w:rsidRDefault="0056447B" w:rsidP="0056447B">
      <w:pPr>
        <w:jc w:val="left"/>
        <w:rPr>
          <w:rFonts w:asciiTheme="minorHAnsi" w:hAnsiTheme="minorHAnsi" w:cstheme="minorHAnsi"/>
          <w:b/>
          <w:sz w:val="28"/>
          <w:szCs w:val="24"/>
        </w:rPr>
      </w:pPr>
      <w:r w:rsidRPr="003E74C0">
        <w:rPr>
          <w:rFonts w:asciiTheme="minorHAnsi" w:hAnsiTheme="minorHAnsi" w:cstheme="minorHAnsi"/>
          <w:b/>
          <w:sz w:val="28"/>
          <w:szCs w:val="24"/>
        </w:rPr>
        <w:t>Step 2: Reservation</w:t>
      </w:r>
    </w:p>
    <w:p w14:paraId="6EB4352C" w14:textId="77777777" w:rsidR="0056447B" w:rsidRPr="003E74C0" w:rsidRDefault="0056447B" w:rsidP="0056447B">
      <w:pPr>
        <w:jc w:val="left"/>
        <w:rPr>
          <w:rFonts w:asciiTheme="minorHAnsi" w:hAnsiTheme="minorHAnsi" w:cstheme="minorHAnsi"/>
          <w:sz w:val="24"/>
          <w:szCs w:val="24"/>
        </w:rPr>
      </w:pPr>
    </w:p>
    <w:p w14:paraId="1268BE37" w14:textId="77777777" w:rsidR="00996530" w:rsidRPr="003E74C0" w:rsidRDefault="002F31D1" w:rsidP="003E74C0">
      <w:pPr>
        <w:ind w:left="720"/>
        <w:jc w:val="left"/>
        <w:rPr>
          <w:rFonts w:asciiTheme="minorHAnsi" w:hAnsiTheme="minorHAnsi" w:cstheme="minorHAnsi"/>
          <w:b/>
          <w:bCs/>
          <w:sz w:val="24"/>
          <w:szCs w:val="24"/>
        </w:rPr>
      </w:pPr>
      <w:r w:rsidRPr="003E74C0">
        <w:rPr>
          <w:rFonts w:asciiTheme="minorHAnsi" w:hAnsiTheme="minorHAnsi" w:cstheme="minorHAnsi"/>
          <w:sz w:val="24"/>
          <w:szCs w:val="24"/>
        </w:rPr>
        <w:t>Applicants whose projects have been approved will</w:t>
      </w:r>
      <w:r w:rsidR="001B4F24" w:rsidRPr="003E74C0">
        <w:rPr>
          <w:rFonts w:asciiTheme="minorHAnsi" w:hAnsiTheme="minorHAnsi" w:cstheme="minorHAnsi"/>
          <w:sz w:val="24"/>
          <w:szCs w:val="24"/>
        </w:rPr>
        <w:t xml:space="preserve"> receive a notice of reserved funding by email </w:t>
      </w:r>
      <w:r w:rsidRPr="003E74C0">
        <w:rPr>
          <w:rFonts w:asciiTheme="minorHAnsi" w:hAnsiTheme="minorHAnsi" w:cstheme="minorHAnsi"/>
          <w:sz w:val="24"/>
          <w:szCs w:val="24"/>
        </w:rPr>
        <w:t>along with the</w:t>
      </w:r>
      <w:r w:rsidR="00566801" w:rsidRPr="003E74C0">
        <w:rPr>
          <w:rFonts w:asciiTheme="minorHAnsi" w:hAnsiTheme="minorHAnsi" w:cstheme="minorHAnsi"/>
          <w:sz w:val="24"/>
          <w:szCs w:val="24"/>
        </w:rPr>
        <w:t xml:space="preserve"> rebate</w:t>
      </w:r>
      <w:r w:rsidRPr="003E74C0">
        <w:rPr>
          <w:rFonts w:asciiTheme="minorHAnsi" w:hAnsiTheme="minorHAnsi" w:cstheme="minorHAnsi"/>
          <w:sz w:val="24"/>
          <w:szCs w:val="24"/>
        </w:rPr>
        <w:t xml:space="preserve"> amount </w:t>
      </w:r>
      <w:r w:rsidR="00566801" w:rsidRPr="003E74C0">
        <w:rPr>
          <w:rFonts w:asciiTheme="minorHAnsi" w:hAnsiTheme="minorHAnsi" w:cstheme="minorHAnsi"/>
          <w:sz w:val="24"/>
          <w:szCs w:val="24"/>
        </w:rPr>
        <w:t>reserved</w:t>
      </w:r>
      <w:r w:rsidRPr="003E74C0">
        <w:rPr>
          <w:rFonts w:asciiTheme="minorHAnsi" w:hAnsiTheme="minorHAnsi" w:cstheme="minorHAnsi"/>
          <w:sz w:val="24"/>
          <w:szCs w:val="24"/>
        </w:rPr>
        <w:t xml:space="preserve"> and the reservation expiration date. </w:t>
      </w:r>
      <w:r w:rsidR="0056447B" w:rsidRPr="003E74C0">
        <w:rPr>
          <w:rFonts w:asciiTheme="minorHAnsi" w:hAnsiTheme="minorHAnsi" w:cstheme="minorHAnsi"/>
          <w:sz w:val="24"/>
          <w:szCs w:val="24"/>
        </w:rPr>
        <w:t xml:space="preserve">Incentive </w:t>
      </w:r>
      <w:r w:rsidR="0056447B" w:rsidRPr="003E74C0">
        <w:rPr>
          <w:rFonts w:asciiTheme="minorHAnsi" w:hAnsiTheme="minorHAnsi" w:cstheme="minorHAnsi"/>
          <w:bCs/>
          <w:sz w:val="24"/>
          <w:szCs w:val="24"/>
        </w:rPr>
        <w:t xml:space="preserve">funds </w:t>
      </w:r>
      <w:r w:rsidR="001B4F24" w:rsidRPr="003E74C0">
        <w:rPr>
          <w:rFonts w:asciiTheme="minorHAnsi" w:hAnsiTheme="minorHAnsi" w:cstheme="minorHAnsi"/>
          <w:bCs/>
          <w:sz w:val="24"/>
          <w:szCs w:val="24"/>
        </w:rPr>
        <w:t>are reserved</w:t>
      </w:r>
      <w:r w:rsidR="0056447B" w:rsidRPr="003E74C0">
        <w:rPr>
          <w:rFonts w:asciiTheme="minorHAnsi" w:hAnsiTheme="minorHAnsi" w:cstheme="minorHAnsi"/>
          <w:bCs/>
          <w:sz w:val="24"/>
          <w:szCs w:val="24"/>
        </w:rPr>
        <w:t xml:space="preserve"> for 90 days from the estimated completion date.</w:t>
      </w:r>
      <w:r w:rsidR="00396C50" w:rsidRPr="003E74C0">
        <w:rPr>
          <w:rFonts w:asciiTheme="minorHAnsi" w:hAnsiTheme="minorHAnsi" w:cstheme="minorHAnsi"/>
          <w:bCs/>
          <w:sz w:val="24"/>
          <w:szCs w:val="24"/>
        </w:rPr>
        <w:t xml:space="preserve"> </w:t>
      </w:r>
      <w:r w:rsidR="00396C50" w:rsidRPr="003E74C0">
        <w:rPr>
          <w:rFonts w:asciiTheme="minorHAnsi" w:hAnsiTheme="minorHAnsi" w:cstheme="minorHAnsi"/>
          <w:b/>
          <w:sz w:val="24"/>
          <w:szCs w:val="24"/>
        </w:rPr>
        <w:t xml:space="preserve">Reservation letters </w:t>
      </w:r>
      <w:r w:rsidR="001B4F24" w:rsidRPr="003E74C0">
        <w:rPr>
          <w:rFonts w:asciiTheme="minorHAnsi" w:hAnsiTheme="minorHAnsi" w:cstheme="minorHAnsi"/>
          <w:b/>
          <w:sz w:val="24"/>
          <w:szCs w:val="24"/>
        </w:rPr>
        <w:t>do not guarantee</w:t>
      </w:r>
      <w:r w:rsidR="00396C50" w:rsidRPr="003E74C0">
        <w:rPr>
          <w:rFonts w:asciiTheme="minorHAnsi" w:hAnsiTheme="minorHAnsi" w:cstheme="minorHAnsi"/>
          <w:b/>
          <w:sz w:val="24"/>
          <w:szCs w:val="24"/>
        </w:rPr>
        <w:t xml:space="preserve"> that incentives will be provided.</w:t>
      </w:r>
      <w:r w:rsidR="0056447B" w:rsidRPr="003E74C0">
        <w:rPr>
          <w:rFonts w:asciiTheme="minorHAnsi" w:hAnsiTheme="minorHAnsi" w:cstheme="minorHAnsi"/>
          <w:b/>
          <w:bCs/>
          <w:sz w:val="24"/>
          <w:szCs w:val="24"/>
        </w:rPr>
        <w:t xml:space="preserve"> </w:t>
      </w:r>
    </w:p>
    <w:p w14:paraId="575606BE" w14:textId="77777777" w:rsidR="00996530" w:rsidRPr="003E74C0" w:rsidRDefault="00996530" w:rsidP="003E74C0">
      <w:pPr>
        <w:ind w:left="720"/>
        <w:jc w:val="left"/>
        <w:rPr>
          <w:rFonts w:asciiTheme="minorHAnsi" w:hAnsiTheme="minorHAnsi" w:cstheme="minorHAnsi"/>
          <w:bCs/>
          <w:sz w:val="24"/>
          <w:szCs w:val="24"/>
        </w:rPr>
      </w:pPr>
    </w:p>
    <w:p w14:paraId="1A4D7ACC" w14:textId="73CF41A2" w:rsidR="00996530" w:rsidRPr="003E74C0" w:rsidRDefault="001B4F24" w:rsidP="003E74C0">
      <w:pPr>
        <w:ind w:left="720"/>
        <w:jc w:val="left"/>
        <w:rPr>
          <w:rFonts w:asciiTheme="minorHAnsi" w:hAnsiTheme="minorHAnsi" w:cstheme="minorHAnsi"/>
          <w:sz w:val="24"/>
          <w:szCs w:val="24"/>
        </w:rPr>
      </w:pPr>
      <w:r w:rsidRPr="003E74C0">
        <w:rPr>
          <w:rFonts w:asciiTheme="minorHAnsi" w:hAnsiTheme="minorHAnsi" w:cstheme="minorHAnsi"/>
          <w:bCs/>
          <w:sz w:val="24"/>
          <w:szCs w:val="24"/>
        </w:rPr>
        <w:t>Projects</w:t>
      </w:r>
      <w:r w:rsidR="0056447B" w:rsidRPr="003E74C0">
        <w:rPr>
          <w:rFonts w:asciiTheme="minorHAnsi" w:hAnsiTheme="minorHAnsi" w:cstheme="minorHAnsi"/>
          <w:bCs/>
          <w:sz w:val="24"/>
          <w:szCs w:val="24"/>
        </w:rPr>
        <w:t xml:space="preserve"> must be fully </w:t>
      </w:r>
      <w:r w:rsidRPr="003E74C0">
        <w:rPr>
          <w:rFonts w:asciiTheme="minorHAnsi" w:hAnsiTheme="minorHAnsi" w:cstheme="minorHAnsi"/>
          <w:bCs/>
          <w:sz w:val="24"/>
          <w:szCs w:val="24"/>
        </w:rPr>
        <w:t xml:space="preserve">completed </w:t>
      </w:r>
      <w:r w:rsidR="0056447B" w:rsidRPr="003E74C0">
        <w:rPr>
          <w:rFonts w:asciiTheme="minorHAnsi" w:hAnsiTheme="minorHAnsi" w:cstheme="minorHAnsi"/>
          <w:bCs/>
          <w:sz w:val="24"/>
          <w:szCs w:val="24"/>
        </w:rPr>
        <w:t xml:space="preserve">and </w:t>
      </w:r>
      <w:r w:rsidR="002F31D1" w:rsidRPr="003E74C0">
        <w:rPr>
          <w:rFonts w:asciiTheme="minorHAnsi" w:hAnsiTheme="minorHAnsi" w:cstheme="minorHAnsi"/>
          <w:bCs/>
          <w:sz w:val="24"/>
          <w:szCs w:val="24"/>
        </w:rPr>
        <w:t xml:space="preserve">a </w:t>
      </w:r>
      <w:r w:rsidR="00D54A2E" w:rsidRPr="003E74C0">
        <w:rPr>
          <w:rFonts w:asciiTheme="minorHAnsi" w:hAnsiTheme="minorHAnsi" w:cstheme="minorHAnsi"/>
          <w:bCs/>
          <w:sz w:val="24"/>
          <w:szCs w:val="24"/>
        </w:rPr>
        <w:t>Final Application</w:t>
      </w:r>
      <w:r w:rsidR="0056447B" w:rsidRPr="003E74C0">
        <w:rPr>
          <w:rFonts w:asciiTheme="minorHAnsi" w:hAnsiTheme="minorHAnsi" w:cstheme="minorHAnsi"/>
          <w:bCs/>
          <w:sz w:val="24"/>
          <w:szCs w:val="24"/>
        </w:rPr>
        <w:t xml:space="preserve"> submitted </w:t>
      </w:r>
      <w:r w:rsidR="0067324A" w:rsidRPr="003E74C0">
        <w:rPr>
          <w:rFonts w:asciiTheme="minorHAnsi" w:hAnsiTheme="minorHAnsi" w:cstheme="minorHAnsi"/>
          <w:bCs/>
          <w:sz w:val="24"/>
          <w:szCs w:val="24"/>
        </w:rPr>
        <w:t xml:space="preserve">by the </w:t>
      </w:r>
      <w:r w:rsidRPr="003E74C0">
        <w:rPr>
          <w:rFonts w:asciiTheme="minorHAnsi" w:hAnsiTheme="minorHAnsi" w:cstheme="minorHAnsi"/>
          <w:bCs/>
          <w:sz w:val="24"/>
          <w:szCs w:val="24"/>
        </w:rPr>
        <w:t xml:space="preserve">reservation expiration date or by </w:t>
      </w:r>
      <w:r w:rsidR="00296168">
        <w:rPr>
          <w:rFonts w:asciiTheme="minorHAnsi" w:hAnsiTheme="minorHAnsi" w:cstheme="minorHAnsi"/>
          <w:bCs/>
          <w:sz w:val="24"/>
          <w:szCs w:val="24"/>
        </w:rPr>
        <w:t>December 1</w:t>
      </w:r>
      <w:r w:rsidR="00312C1F" w:rsidRPr="003E74C0">
        <w:rPr>
          <w:rFonts w:asciiTheme="minorHAnsi" w:hAnsiTheme="minorHAnsi" w:cstheme="minorHAnsi"/>
          <w:bCs/>
          <w:sz w:val="24"/>
          <w:szCs w:val="24"/>
        </w:rPr>
        <w:t xml:space="preserve"> of the same program year</w:t>
      </w:r>
      <w:r w:rsidRPr="003E74C0">
        <w:rPr>
          <w:rFonts w:asciiTheme="minorHAnsi" w:hAnsiTheme="minorHAnsi" w:cstheme="minorHAnsi"/>
          <w:bCs/>
          <w:sz w:val="24"/>
          <w:szCs w:val="24"/>
        </w:rPr>
        <w:t xml:space="preserve">, </w:t>
      </w:r>
      <w:r w:rsidR="00312C1F" w:rsidRPr="003E74C0">
        <w:rPr>
          <w:rFonts w:asciiTheme="minorHAnsi" w:hAnsiTheme="minorHAnsi" w:cstheme="minorHAnsi"/>
          <w:bCs/>
          <w:sz w:val="24"/>
          <w:szCs w:val="24"/>
        </w:rPr>
        <w:t xml:space="preserve">whichever </w:t>
      </w:r>
      <w:r w:rsidR="008516D0" w:rsidRPr="003E74C0">
        <w:rPr>
          <w:rFonts w:asciiTheme="minorHAnsi" w:hAnsiTheme="minorHAnsi" w:cstheme="minorHAnsi"/>
          <w:bCs/>
          <w:sz w:val="24"/>
          <w:szCs w:val="24"/>
        </w:rPr>
        <w:t>is earlier</w:t>
      </w:r>
      <w:r w:rsidR="00312C1F" w:rsidRPr="003E74C0">
        <w:rPr>
          <w:rFonts w:asciiTheme="minorHAnsi" w:hAnsiTheme="minorHAnsi" w:cstheme="minorHAnsi"/>
          <w:bCs/>
          <w:sz w:val="24"/>
          <w:szCs w:val="24"/>
        </w:rPr>
        <w:t>.</w:t>
      </w:r>
      <w:r w:rsidR="00996530" w:rsidRPr="003E74C0">
        <w:rPr>
          <w:rFonts w:asciiTheme="minorHAnsi" w:hAnsiTheme="minorHAnsi" w:cstheme="minorHAnsi"/>
          <w:bCs/>
          <w:sz w:val="24"/>
          <w:szCs w:val="24"/>
        </w:rPr>
        <w:t xml:space="preserve"> Customers may submit a request in writing for a one-time 30-day extension of their funding reservation that is subject to approval by the </w:t>
      </w:r>
      <w:r w:rsidR="00996530" w:rsidRPr="003E74C0">
        <w:rPr>
          <w:rFonts w:asciiTheme="minorHAnsi" w:hAnsiTheme="minorHAnsi" w:cstheme="minorHAnsi"/>
          <w:sz w:val="24"/>
          <w:szCs w:val="24"/>
        </w:rPr>
        <w:t xml:space="preserve">Commercial Energy Solutions </w:t>
      </w:r>
      <w:r w:rsidR="00E95D4E" w:rsidRPr="003E74C0">
        <w:rPr>
          <w:rFonts w:asciiTheme="minorHAnsi" w:hAnsiTheme="minorHAnsi" w:cstheme="minorHAnsi"/>
          <w:sz w:val="24"/>
          <w:szCs w:val="24"/>
        </w:rPr>
        <w:t>t</w:t>
      </w:r>
      <w:r w:rsidR="00996530" w:rsidRPr="003E74C0">
        <w:rPr>
          <w:rFonts w:asciiTheme="minorHAnsi" w:hAnsiTheme="minorHAnsi" w:cstheme="minorHAnsi"/>
          <w:sz w:val="24"/>
          <w:szCs w:val="24"/>
        </w:rPr>
        <w:t xml:space="preserve">eam. </w:t>
      </w:r>
    </w:p>
    <w:p w14:paraId="296C9A6F" w14:textId="77777777" w:rsidR="00996530" w:rsidRPr="003E74C0" w:rsidRDefault="00996530" w:rsidP="003E74C0">
      <w:pPr>
        <w:ind w:left="720"/>
        <w:jc w:val="left"/>
        <w:rPr>
          <w:rFonts w:asciiTheme="minorHAnsi" w:hAnsiTheme="minorHAnsi" w:cstheme="minorHAnsi"/>
          <w:sz w:val="24"/>
          <w:szCs w:val="24"/>
        </w:rPr>
      </w:pPr>
    </w:p>
    <w:p w14:paraId="466D6240" w14:textId="77777777" w:rsidR="00996530" w:rsidRPr="003E74C0" w:rsidRDefault="00996530"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Reserved funding for projects that take more than </w:t>
      </w:r>
      <w:r w:rsidR="009B2435">
        <w:rPr>
          <w:rFonts w:asciiTheme="minorHAnsi" w:hAnsiTheme="minorHAnsi" w:cstheme="minorHAnsi"/>
          <w:bCs/>
          <w:sz w:val="24"/>
          <w:szCs w:val="24"/>
        </w:rPr>
        <w:t>90 days</w:t>
      </w:r>
      <w:r w:rsidRPr="003E74C0">
        <w:rPr>
          <w:rFonts w:asciiTheme="minorHAnsi" w:hAnsiTheme="minorHAnsi" w:cstheme="minorHAnsi"/>
          <w:bCs/>
          <w:sz w:val="24"/>
          <w:szCs w:val="24"/>
        </w:rPr>
        <w:t xml:space="preserve"> to complete may be cancelled and </w:t>
      </w:r>
      <w:r w:rsidR="009B2435">
        <w:rPr>
          <w:rFonts w:asciiTheme="minorHAnsi" w:hAnsiTheme="minorHAnsi" w:cstheme="minorHAnsi"/>
          <w:bCs/>
          <w:sz w:val="24"/>
          <w:szCs w:val="24"/>
        </w:rPr>
        <w:t xml:space="preserve">the </w:t>
      </w:r>
      <w:r w:rsidRPr="003E74C0">
        <w:rPr>
          <w:rFonts w:asciiTheme="minorHAnsi" w:hAnsiTheme="minorHAnsi" w:cstheme="minorHAnsi"/>
          <w:bCs/>
          <w:sz w:val="24"/>
          <w:szCs w:val="24"/>
        </w:rPr>
        <w:t xml:space="preserve">funds released. </w:t>
      </w:r>
      <w:r w:rsidRPr="003E74C0">
        <w:rPr>
          <w:rFonts w:asciiTheme="minorHAnsi" w:hAnsiTheme="minorHAnsi" w:cstheme="minorHAnsi"/>
          <w:sz w:val="24"/>
          <w:szCs w:val="24"/>
        </w:rPr>
        <w:t xml:space="preserve">It is the customer’s responsibility to contact program staff if a project is delayed, substantially changed or cancelled. Reserved funds are not transferable to other projects, facilities and/or customers. </w:t>
      </w:r>
    </w:p>
    <w:p w14:paraId="6D5F077D" w14:textId="77777777" w:rsidR="00996530" w:rsidRPr="003E74C0" w:rsidRDefault="00996530" w:rsidP="003E74C0">
      <w:pPr>
        <w:ind w:left="720"/>
        <w:jc w:val="left"/>
        <w:rPr>
          <w:rFonts w:asciiTheme="minorHAnsi" w:hAnsiTheme="minorHAnsi" w:cstheme="minorHAnsi"/>
          <w:sz w:val="24"/>
          <w:szCs w:val="24"/>
        </w:rPr>
      </w:pPr>
    </w:p>
    <w:p w14:paraId="71AF493B" w14:textId="77777777" w:rsidR="0056447B" w:rsidRPr="003E74C0" w:rsidRDefault="00996530"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The team may contact the customer periodically to ensure that the project is moving forward and may cancel the commitment based on the customer’s response.</w:t>
      </w:r>
    </w:p>
    <w:p w14:paraId="6C996254" w14:textId="77777777" w:rsidR="0056447B" w:rsidRPr="003E74C0" w:rsidRDefault="0056447B" w:rsidP="003E74C0">
      <w:pPr>
        <w:ind w:left="720"/>
        <w:jc w:val="left"/>
        <w:rPr>
          <w:rFonts w:asciiTheme="minorHAnsi" w:hAnsiTheme="minorHAnsi" w:cstheme="minorHAnsi"/>
          <w:sz w:val="24"/>
          <w:szCs w:val="24"/>
        </w:rPr>
      </w:pPr>
    </w:p>
    <w:p w14:paraId="535E2122" w14:textId="77777777" w:rsidR="0056447B" w:rsidRPr="003E74C0" w:rsidRDefault="0056447B" w:rsidP="003E74C0">
      <w:pPr>
        <w:ind w:left="720"/>
        <w:jc w:val="left"/>
        <w:rPr>
          <w:rFonts w:asciiTheme="minorHAnsi" w:hAnsiTheme="minorHAnsi" w:cstheme="minorHAnsi"/>
          <w:sz w:val="24"/>
          <w:szCs w:val="24"/>
        </w:rPr>
      </w:pPr>
      <w:r w:rsidRPr="003E74C0">
        <w:rPr>
          <w:rFonts w:asciiTheme="minorHAnsi" w:hAnsiTheme="minorHAnsi" w:cstheme="minorHAnsi"/>
          <w:iCs/>
          <w:sz w:val="24"/>
          <w:szCs w:val="24"/>
        </w:rPr>
        <w:lastRenderedPageBreak/>
        <w:t xml:space="preserve">While </w:t>
      </w:r>
      <w:r w:rsidR="00A75CFF" w:rsidRPr="003E74C0">
        <w:rPr>
          <w:rFonts w:asciiTheme="minorHAnsi" w:hAnsiTheme="minorHAnsi" w:cstheme="minorHAnsi"/>
          <w:iCs/>
          <w:sz w:val="24"/>
          <w:szCs w:val="24"/>
        </w:rPr>
        <w:t xml:space="preserve">every attempt is made to accurately estimate reserved funding </w:t>
      </w:r>
      <w:r w:rsidR="002F31D1" w:rsidRPr="003E74C0">
        <w:rPr>
          <w:rFonts w:asciiTheme="minorHAnsi" w:hAnsiTheme="minorHAnsi" w:cstheme="minorHAnsi"/>
          <w:iCs/>
          <w:sz w:val="24"/>
          <w:szCs w:val="24"/>
        </w:rPr>
        <w:t>to support</w:t>
      </w:r>
      <w:r w:rsidR="00A75CFF" w:rsidRPr="003E74C0">
        <w:rPr>
          <w:rFonts w:asciiTheme="minorHAnsi" w:hAnsiTheme="minorHAnsi" w:cstheme="minorHAnsi"/>
          <w:iCs/>
          <w:sz w:val="24"/>
          <w:szCs w:val="24"/>
        </w:rPr>
        <w:t xml:space="preserve"> project</w:t>
      </w:r>
      <w:r w:rsidR="002F31D1" w:rsidRPr="003E74C0">
        <w:rPr>
          <w:rFonts w:asciiTheme="minorHAnsi" w:hAnsiTheme="minorHAnsi" w:cstheme="minorHAnsi"/>
          <w:iCs/>
          <w:sz w:val="24"/>
          <w:szCs w:val="24"/>
        </w:rPr>
        <w:t>s</w:t>
      </w:r>
      <w:r w:rsidR="00A75CFF" w:rsidRPr="003E74C0">
        <w:rPr>
          <w:rFonts w:asciiTheme="minorHAnsi" w:hAnsiTheme="minorHAnsi" w:cstheme="minorHAnsi"/>
          <w:iCs/>
          <w:sz w:val="24"/>
          <w:szCs w:val="24"/>
        </w:rPr>
        <w:t xml:space="preserve">, actual amounts may vary and are </w:t>
      </w:r>
      <w:r w:rsidRPr="003E74C0">
        <w:rPr>
          <w:rFonts w:asciiTheme="minorHAnsi" w:hAnsiTheme="minorHAnsi" w:cstheme="minorHAnsi"/>
          <w:sz w:val="24"/>
          <w:szCs w:val="24"/>
        </w:rPr>
        <w:t>not guaranteed</w:t>
      </w:r>
      <w:r w:rsidR="002F31D1" w:rsidRPr="003E74C0">
        <w:rPr>
          <w:rFonts w:asciiTheme="minorHAnsi" w:hAnsiTheme="minorHAnsi" w:cstheme="minorHAnsi"/>
          <w:sz w:val="24"/>
          <w:szCs w:val="24"/>
        </w:rPr>
        <w:t>. The actual rebate amount is determined by a review of the</w:t>
      </w:r>
      <w:r w:rsidRPr="003E74C0">
        <w:rPr>
          <w:rFonts w:asciiTheme="minorHAnsi" w:hAnsiTheme="minorHAnsi" w:cstheme="minorHAnsi"/>
          <w:sz w:val="24"/>
          <w:szCs w:val="24"/>
        </w:rPr>
        <w:t xml:space="preserve">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invoices</w:t>
      </w:r>
      <w:r w:rsidR="002F31D1" w:rsidRPr="003E74C0">
        <w:rPr>
          <w:rFonts w:asciiTheme="minorHAnsi" w:hAnsiTheme="minorHAnsi" w:cstheme="minorHAnsi"/>
          <w:sz w:val="24"/>
          <w:szCs w:val="24"/>
        </w:rPr>
        <w:t xml:space="preserve">, </w:t>
      </w:r>
      <w:r w:rsidRPr="003E74C0">
        <w:rPr>
          <w:rFonts w:asciiTheme="minorHAnsi" w:hAnsiTheme="minorHAnsi" w:cstheme="minorHAnsi"/>
          <w:sz w:val="24"/>
          <w:szCs w:val="24"/>
        </w:rPr>
        <w:t>supporting project documentation and program funding availability</w:t>
      </w:r>
      <w:r w:rsidR="002F31D1" w:rsidRPr="003E74C0">
        <w:rPr>
          <w:rFonts w:asciiTheme="minorHAnsi" w:hAnsiTheme="minorHAnsi" w:cstheme="minorHAnsi"/>
          <w:sz w:val="24"/>
          <w:szCs w:val="24"/>
        </w:rPr>
        <w:t>. Any increases in rebate amounts may not exceed 10</w:t>
      </w:r>
      <w:r w:rsidR="006405FD">
        <w:rPr>
          <w:rFonts w:asciiTheme="minorHAnsi" w:hAnsiTheme="minorHAnsi" w:cstheme="minorHAnsi"/>
          <w:sz w:val="24"/>
          <w:szCs w:val="24"/>
        </w:rPr>
        <w:t>%</w:t>
      </w:r>
      <w:r w:rsidR="002F31D1" w:rsidRPr="003E74C0">
        <w:rPr>
          <w:rFonts w:asciiTheme="minorHAnsi" w:hAnsiTheme="minorHAnsi" w:cstheme="minorHAnsi"/>
          <w:sz w:val="24"/>
          <w:szCs w:val="24"/>
        </w:rPr>
        <w:t xml:space="preserve"> of the original reserved funding amount. </w:t>
      </w:r>
      <w:r w:rsidR="00B50795" w:rsidRPr="003E74C0">
        <w:rPr>
          <w:rFonts w:asciiTheme="minorHAnsi" w:hAnsiTheme="minorHAnsi" w:cstheme="minorHAnsi"/>
          <w:sz w:val="24"/>
          <w:szCs w:val="24"/>
        </w:rPr>
        <w:t>See Section 12 for more information.</w:t>
      </w:r>
    </w:p>
    <w:p w14:paraId="5D29EF7D" w14:textId="77777777" w:rsidR="0056447B" w:rsidRPr="003E74C0" w:rsidRDefault="0056447B" w:rsidP="0056447B">
      <w:pPr>
        <w:jc w:val="left"/>
        <w:rPr>
          <w:rFonts w:asciiTheme="minorHAnsi" w:hAnsiTheme="minorHAnsi" w:cstheme="minorHAnsi"/>
          <w:sz w:val="24"/>
          <w:szCs w:val="24"/>
        </w:rPr>
      </w:pPr>
    </w:p>
    <w:p w14:paraId="2CD57BF5" w14:textId="77777777" w:rsidR="0056447B" w:rsidRPr="003E74C0" w:rsidRDefault="0056447B" w:rsidP="0056447B">
      <w:pPr>
        <w:jc w:val="left"/>
        <w:rPr>
          <w:rFonts w:asciiTheme="minorHAnsi" w:hAnsiTheme="minorHAnsi" w:cstheme="minorHAnsi"/>
          <w:sz w:val="28"/>
          <w:szCs w:val="24"/>
        </w:rPr>
      </w:pPr>
      <w:r w:rsidRPr="003E74C0">
        <w:rPr>
          <w:rFonts w:asciiTheme="minorHAnsi" w:hAnsiTheme="minorHAnsi" w:cstheme="minorHAnsi"/>
          <w:b/>
          <w:sz w:val="28"/>
          <w:szCs w:val="24"/>
        </w:rPr>
        <w:t xml:space="preserve">Step 3: Install Equipment </w:t>
      </w:r>
      <w:r w:rsidR="00713B9C" w:rsidRPr="003E74C0">
        <w:rPr>
          <w:rFonts w:asciiTheme="minorHAnsi" w:hAnsiTheme="minorHAnsi" w:cstheme="minorHAnsi"/>
          <w:b/>
          <w:sz w:val="28"/>
          <w:szCs w:val="24"/>
        </w:rPr>
        <w:t xml:space="preserve">and </w:t>
      </w:r>
      <w:r w:rsidRPr="003E74C0">
        <w:rPr>
          <w:rFonts w:asciiTheme="minorHAnsi" w:hAnsiTheme="minorHAnsi" w:cstheme="minorHAnsi"/>
          <w:b/>
          <w:sz w:val="28"/>
          <w:szCs w:val="24"/>
        </w:rPr>
        <w:t>Perform Project Wor</w:t>
      </w:r>
      <w:r w:rsidRPr="003E74C0">
        <w:rPr>
          <w:rFonts w:asciiTheme="minorHAnsi" w:hAnsiTheme="minorHAnsi" w:cstheme="minorHAnsi"/>
          <w:sz w:val="28"/>
          <w:szCs w:val="24"/>
        </w:rPr>
        <w:t>k</w:t>
      </w:r>
    </w:p>
    <w:p w14:paraId="15012EE9" w14:textId="77777777" w:rsidR="0056447B" w:rsidRPr="003E74C0" w:rsidRDefault="0056447B" w:rsidP="0056447B">
      <w:pPr>
        <w:jc w:val="left"/>
        <w:rPr>
          <w:rFonts w:asciiTheme="minorHAnsi" w:hAnsiTheme="minorHAnsi" w:cstheme="minorHAnsi"/>
          <w:sz w:val="24"/>
          <w:szCs w:val="24"/>
        </w:rPr>
      </w:pPr>
    </w:p>
    <w:p w14:paraId="6971705E" w14:textId="77777777" w:rsidR="0056447B" w:rsidRPr="003E74C0" w:rsidRDefault="0056447B"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Install equipment </w:t>
      </w:r>
      <w:r w:rsidR="00713B9C" w:rsidRPr="003E74C0">
        <w:rPr>
          <w:rFonts w:asciiTheme="minorHAnsi" w:hAnsiTheme="minorHAnsi" w:cstheme="minorHAnsi"/>
          <w:sz w:val="24"/>
          <w:szCs w:val="24"/>
        </w:rPr>
        <w:t xml:space="preserve">and </w:t>
      </w:r>
      <w:r w:rsidRPr="003E74C0">
        <w:rPr>
          <w:rFonts w:asciiTheme="minorHAnsi" w:hAnsiTheme="minorHAnsi" w:cstheme="minorHAnsi"/>
          <w:sz w:val="24"/>
          <w:szCs w:val="24"/>
        </w:rPr>
        <w:t xml:space="preserve">perform project work </w:t>
      </w:r>
      <w:r w:rsidR="009B7593" w:rsidRPr="003E74C0">
        <w:rPr>
          <w:rFonts w:asciiTheme="minorHAnsi" w:hAnsiTheme="minorHAnsi" w:cstheme="minorHAnsi"/>
          <w:sz w:val="24"/>
          <w:szCs w:val="24"/>
        </w:rPr>
        <w:t>per</w:t>
      </w:r>
      <w:r w:rsidR="00713B9C" w:rsidRPr="003E74C0">
        <w:rPr>
          <w:rFonts w:asciiTheme="minorHAnsi" w:hAnsiTheme="minorHAnsi" w:cstheme="minorHAnsi"/>
          <w:sz w:val="24"/>
          <w:szCs w:val="24"/>
        </w:rPr>
        <w:t xml:space="preserve"> specifications </w:t>
      </w:r>
      <w:r w:rsidRPr="003E74C0">
        <w:rPr>
          <w:rFonts w:asciiTheme="minorHAnsi" w:hAnsiTheme="minorHAnsi" w:cstheme="minorHAnsi"/>
          <w:sz w:val="24"/>
          <w:szCs w:val="24"/>
        </w:rPr>
        <w:t xml:space="preserve">prior to the 90-day reservation expiration date or </w:t>
      </w:r>
      <w:r w:rsidR="00713B9C" w:rsidRPr="003E74C0">
        <w:rPr>
          <w:rFonts w:asciiTheme="minorHAnsi" w:hAnsiTheme="minorHAnsi" w:cstheme="minorHAnsi"/>
          <w:sz w:val="24"/>
          <w:szCs w:val="24"/>
        </w:rPr>
        <w:t xml:space="preserve">within </w:t>
      </w:r>
      <w:r w:rsidRPr="003E74C0">
        <w:rPr>
          <w:rFonts w:asciiTheme="minorHAnsi" w:hAnsiTheme="minorHAnsi" w:cstheme="minorHAnsi"/>
          <w:sz w:val="24"/>
          <w:szCs w:val="24"/>
        </w:rPr>
        <w:t xml:space="preserve">120 days if </w:t>
      </w:r>
      <w:r w:rsidR="00713B9C" w:rsidRPr="003E74C0">
        <w:rPr>
          <w:rFonts w:asciiTheme="minorHAnsi" w:hAnsiTheme="minorHAnsi" w:cstheme="minorHAnsi"/>
          <w:sz w:val="24"/>
          <w:szCs w:val="24"/>
        </w:rPr>
        <w:t>a funding reservation extension was requested and approved.</w:t>
      </w:r>
      <w:r w:rsidRPr="003E74C0">
        <w:rPr>
          <w:rFonts w:asciiTheme="minorHAnsi" w:hAnsiTheme="minorHAnsi" w:cstheme="minorHAnsi"/>
          <w:sz w:val="24"/>
          <w:szCs w:val="24"/>
        </w:rPr>
        <w:t xml:space="preserve"> </w:t>
      </w:r>
      <w:r w:rsidR="00682895" w:rsidRPr="003E74C0">
        <w:rPr>
          <w:rFonts w:asciiTheme="minorHAnsi" w:hAnsiTheme="minorHAnsi" w:cstheme="minorHAnsi"/>
          <w:sz w:val="24"/>
          <w:szCs w:val="24"/>
        </w:rPr>
        <w:t>A</w:t>
      </w:r>
      <w:r w:rsidR="00566801" w:rsidRPr="003E74C0">
        <w:rPr>
          <w:rFonts w:asciiTheme="minorHAnsi" w:hAnsiTheme="minorHAnsi" w:cstheme="minorHAnsi"/>
          <w:sz w:val="24"/>
          <w:szCs w:val="24"/>
        </w:rPr>
        <w:t>pplicants must</w:t>
      </w:r>
      <w:r w:rsidRPr="003E74C0">
        <w:rPr>
          <w:rFonts w:asciiTheme="minorHAnsi" w:hAnsiTheme="minorHAnsi" w:cstheme="minorHAnsi"/>
          <w:sz w:val="24"/>
          <w:szCs w:val="24"/>
        </w:rPr>
        <w:t xml:space="preserve"> </w:t>
      </w:r>
      <w:r w:rsidR="00713B9C" w:rsidRPr="003E74C0">
        <w:rPr>
          <w:rFonts w:asciiTheme="minorHAnsi" w:hAnsiTheme="minorHAnsi" w:cstheme="minorHAnsi"/>
          <w:sz w:val="24"/>
          <w:szCs w:val="24"/>
        </w:rPr>
        <w:t>d</w:t>
      </w:r>
      <w:r w:rsidRPr="003E74C0">
        <w:rPr>
          <w:rFonts w:asciiTheme="minorHAnsi" w:hAnsiTheme="minorHAnsi" w:cstheme="minorHAnsi"/>
          <w:sz w:val="24"/>
          <w:szCs w:val="24"/>
        </w:rPr>
        <w:t xml:space="preserve">ispose </w:t>
      </w:r>
      <w:r w:rsidR="00713B9C" w:rsidRPr="003E74C0">
        <w:rPr>
          <w:rFonts w:asciiTheme="minorHAnsi" w:hAnsiTheme="minorHAnsi" w:cstheme="minorHAnsi"/>
          <w:sz w:val="24"/>
          <w:szCs w:val="24"/>
        </w:rPr>
        <w:t xml:space="preserve">of </w:t>
      </w:r>
      <w:r w:rsidRPr="003E74C0">
        <w:rPr>
          <w:rFonts w:asciiTheme="minorHAnsi" w:hAnsiTheme="minorHAnsi" w:cstheme="minorHAnsi"/>
          <w:sz w:val="24"/>
          <w:szCs w:val="24"/>
        </w:rPr>
        <w:t>or recycle materials properly and permanently remove or disable all replaced equipment and systems.</w:t>
      </w:r>
    </w:p>
    <w:p w14:paraId="3FF0AA2E" w14:textId="77777777" w:rsidR="0056447B" w:rsidRPr="003E74C0" w:rsidRDefault="0056447B" w:rsidP="0056447B">
      <w:pPr>
        <w:jc w:val="left"/>
        <w:rPr>
          <w:rFonts w:asciiTheme="minorHAnsi" w:hAnsiTheme="minorHAnsi" w:cstheme="minorHAnsi"/>
          <w:sz w:val="24"/>
          <w:szCs w:val="24"/>
        </w:rPr>
      </w:pPr>
    </w:p>
    <w:p w14:paraId="0EBD6CFF" w14:textId="77777777" w:rsidR="0056447B" w:rsidRPr="003E74C0" w:rsidRDefault="0056447B" w:rsidP="0056447B">
      <w:pPr>
        <w:jc w:val="left"/>
        <w:rPr>
          <w:rFonts w:asciiTheme="minorHAnsi" w:hAnsiTheme="minorHAnsi" w:cstheme="minorHAnsi"/>
          <w:b/>
          <w:sz w:val="28"/>
          <w:szCs w:val="24"/>
        </w:rPr>
      </w:pPr>
      <w:r w:rsidRPr="003E74C0">
        <w:rPr>
          <w:rFonts w:asciiTheme="minorHAnsi" w:hAnsiTheme="minorHAnsi" w:cstheme="minorHAnsi"/>
          <w:b/>
          <w:sz w:val="28"/>
          <w:szCs w:val="24"/>
        </w:rPr>
        <w:t xml:space="preserve">Step 4:  Complete the </w:t>
      </w:r>
      <w:r w:rsidR="00D54A2E" w:rsidRPr="003E74C0">
        <w:rPr>
          <w:rFonts w:asciiTheme="minorHAnsi" w:hAnsiTheme="minorHAnsi" w:cstheme="minorHAnsi"/>
          <w:b/>
          <w:sz w:val="28"/>
          <w:szCs w:val="24"/>
        </w:rPr>
        <w:t>Final Application</w:t>
      </w:r>
    </w:p>
    <w:p w14:paraId="140B34A7" w14:textId="77777777" w:rsidR="0056447B" w:rsidRPr="003E74C0" w:rsidRDefault="0056447B" w:rsidP="0056447B">
      <w:pPr>
        <w:jc w:val="left"/>
        <w:rPr>
          <w:rFonts w:asciiTheme="minorHAnsi" w:hAnsiTheme="minorHAnsi" w:cstheme="minorHAnsi"/>
          <w:sz w:val="24"/>
          <w:szCs w:val="24"/>
        </w:rPr>
      </w:pPr>
    </w:p>
    <w:p w14:paraId="0CEF9F1F" w14:textId="7115C76E" w:rsidR="00713B9C" w:rsidRPr="003E74C0" w:rsidRDefault="0056447B"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The </w:t>
      </w:r>
      <w:r w:rsidR="00D54A2E" w:rsidRPr="003E74C0">
        <w:rPr>
          <w:rFonts w:asciiTheme="minorHAnsi" w:hAnsiTheme="minorHAnsi" w:cstheme="minorHAnsi"/>
          <w:sz w:val="24"/>
          <w:szCs w:val="24"/>
        </w:rPr>
        <w:t>Final Application Form</w:t>
      </w:r>
      <w:r w:rsidRPr="003E74C0">
        <w:rPr>
          <w:rFonts w:asciiTheme="minorHAnsi" w:hAnsiTheme="minorHAnsi" w:cstheme="minorHAnsi"/>
          <w:sz w:val="24"/>
          <w:szCs w:val="24"/>
        </w:rPr>
        <w:t xml:space="preserve"> is the same document as the Pre-Approval Application</w:t>
      </w:r>
      <w:r w:rsidR="00713B9C" w:rsidRPr="003E74C0">
        <w:rPr>
          <w:rFonts w:asciiTheme="minorHAnsi" w:hAnsiTheme="minorHAnsi" w:cstheme="minorHAnsi"/>
          <w:sz w:val="24"/>
          <w:szCs w:val="24"/>
        </w:rPr>
        <w:t xml:space="preserve"> Form</w:t>
      </w:r>
      <w:r w:rsidRPr="003E74C0">
        <w:rPr>
          <w:rFonts w:asciiTheme="minorHAnsi" w:hAnsiTheme="minorHAnsi" w:cstheme="minorHAnsi"/>
          <w:sz w:val="24"/>
          <w:szCs w:val="24"/>
        </w:rPr>
        <w:t xml:space="preserve">. </w:t>
      </w:r>
      <w:r w:rsidR="00713B9C" w:rsidRPr="003E74C0">
        <w:rPr>
          <w:rFonts w:asciiTheme="minorHAnsi" w:hAnsiTheme="minorHAnsi" w:cstheme="minorHAnsi"/>
          <w:sz w:val="24"/>
          <w:szCs w:val="24"/>
        </w:rPr>
        <w:t xml:space="preserve">Complete and submit a Final Application with all required supporting documentation within 60 days after project completion, the reservation end date or by </w:t>
      </w:r>
      <w:r w:rsidR="00296168">
        <w:rPr>
          <w:rFonts w:asciiTheme="minorHAnsi" w:hAnsiTheme="minorHAnsi" w:cstheme="minorHAnsi"/>
          <w:sz w:val="24"/>
          <w:szCs w:val="24"/>
        </w:rPr>
        <w:t>December 1</w:t>
      </w:r>
      <w:r w:rsidR="00713B9C" w:rsidRPr="003E74C0">
        <w:rPr>
          <w:rFonts w:asciiTheme="minorHAnsi" w:hAnsiTheme="minorHAnsi" w:cstheme="minorHAnsi"/>
          <w:sz w:val="24"/>
          <w:szCs w:val="24"/>
        </w:rPr>
        <w:t xml:space="preserve"> of the program year, whichever comes first. </w:t>
      </w:r>
    </w:p>
    <w:p w14:paraId="5FB8216E" w14:textId="77777777" w:rsidR="00704B6C" w:rsidRPr="003E74C0" w:rsidRDefault="00704B6C" w:rsidP="003E74C0">
      <w:pPr>
        <w:ind w:left="720"/>
        <w:jc w:val="left"/>
        <w:rPr>
          <w:rFonts w:asciiTheme="minorHAnsi" w:hAnsiTheme="minorHAnsi" w:cstheme="minorHAnsi"/>
          <w:sz w:val="24"/>
          <w:szCs w:val="24"/>
        </w:rPr>
      </w:pPr>
    </w:p>
    <w:p w14:paraId="35E76981" w14:textId="77777777" w:rsidR="00704B6C" w:rsidRPr="003E74C0" w:rsidRDefault="00704B6C"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The information required for each measure is detailed on the application worksheet.</w:t>
      </w:r>
      <w:r w:rsidR="00583700" w:rsidRPr="003E74C0">
        <w:rPr>
          <w:rFonts w:asciiTheme="minorHAnsi" w:hAnsiTheme="minorHAnsi" w:cstheme="minorHAnsi"/>
          <w:sz w:val="24"/>
          <w:szCs w:val="24"/>
        </w:rPr>
        <w:t xml:space="preserve"> </w:t>
      </w:r>
      <w:r w:rsidRPr="003E74C0">
        <w:rPr>
          <w:rFonts w:asciiTheme="minorHAnsi" w:hAnsiTheme="minorHAnsi" w:cstheme="minorHAnsi"/>
          <w:sz w:val="24"/>
          <w:szCs w:val="24"/>
        </w:rPr>
        <w:t>Documentation should include final invoices and must be itemized with the costs for equipment, labor, supplies and other costs. The location or business name on the invoice must be consistent with the application information. The dates on the invoices must be in the same program year the application is submitted. Only expenses incurred during the term of the program can be reimbursed.</w:t>
      </w:r>
    </w:p>
    <w:p w14:paraId="09C74CF6" w14:textId="77777777" w:rsidR="00704B6C" w:rsidRPr="003E74C0" w:rsidRDefault="00704B6C" w:rsidP="003E74C0">
      <w:pPr>
        <w:ind w:left="720"/>
        <w:jc w:val="left"/>
        <w:rPr>
          <w:rFonts w:asciiTheme="minorHAnsi" w:hAnsiTheme="minorHAnsi" w:cstheme="minorHAnsi"/>
          <w:sz w:val="24"/>
          <w:szCs w:val="24"/>
        </w:rPr>
      </w:pPr>
    </w:p>
    <w:p w14:paraId="3DE03DB4" w14:textId="77777777" w:rsidR="00704B6C" w:rsidRPr="003E74C0" w:rsidRDefault="00704B6C"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The project invoice must provide sufficient detail for the Commercial Energy Solutions team to separate the costs of the energy efficiency measures from the costs for other services such as repairs and building code compliance. In cases where the contractor will receive the rebate payment directly, the submitted invoices must include the </w:t>
      </w:r>
      <w:r w:rsidRPr="003E74C0">
        <w:rPr>
          <w:rFonts w:asciiTheme="minorHAnsi" w:hAnsiTheme="minorHAnsi" w:cstheme="minorHAnsi"/>
          <w:b/>
          <w:sz w:val="24"/>
          <w:szCs w:val="24"/>
        </w:rPr>
        <w:t>full cost of the measures</w:t>
      </w:r>
      <w:r w:rsidRPr="003E74C0">
        <w:rPr>
          <w:rFonts w:asciiTheme="minorHAnsi" w:hAnsiTheme="minorHAnsi" w:cstheme="minorHAnsi"/>
          <w:sz w:val="24"/>
          <w:szCs w:val="24"/>
        </w:rPr>
        <w:t xml:space="preserve">, not just the portion of the project cost that the utility customer will pay.  </w:t>
      </w:r>
      <w:r w:rsidRPr="003E74C0">
        <w:rPr>
          <w:rFonts w:asciiTheme="minorHAnsi" w:hAnsiTheme="minorHAnsi" w:cstheme="minorHAnsi"/>
          <w:i/>
          <w:sz w:val="24"/>
          <w:szCs w:val="24"/>
        </w:rPr>
        <w:t>Customer internal labor is not reimbursable.</w:t>
      </w:r>
    </w:p>
    <w:p w14:paraId="5EABEF0A" w14:textId="77777777" w:rsidR="00704B6C" w:rsidRPr="003E74C0" w:rsidRDefault="00704B6C" w:rsidP="003E74C0">
      <w:pPr>
        <w:ind w:left="720"/>
        <w:jc w:val="left"/>
        <w:rPr>
          <w:rFonts w:asciiTheme="minorHAnsi" w:hAnsiTheme="minorHAnsi" w:cstheme="minorHAnsi"/>
          <w:sz w:val="24"/>
          <w:szCs w:val="24"/>
        </w:rPr>
      </w:pPr>
    </w:p>
    <w:p w14:paraId="04FE4BDF" w14:textId="77777777" w:rsidR="00704B6C" w:rsidRPr="003E74C0" w:rsidRDefault="00704B6C"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Customers must submit all required project documentation including, but not limited to, copies of purchase orders, statements of work, equipment specifications and paid invoices. Documents should clearly indicate equipment specifications and quantities.  </w:t>
      </w:r>
      <w:r w:rsidR="00583700" w:rsidRPr="003E74C0">
        <w:rPr>
          <w:rFonts w:asciiTheme="minorHAnsi" w:hAnsiTheme="minorHAnsi" w:cstheme="minorHAnsi"/>
          <w:sz w:val="24"/>
          <w:szCs w:val="24"/>
        </w:rPr>
        <w:t>Manufacturer data, cut-sheets, or specification sheets must match the units installed and invoiced.</w:t>
      </w:r>
    </w:p>
    <w:p w14:paraId="2AB15971" w14:textId="77777777" w:rsidR="00713B9C" w:rsidRPr="003E74C0" w:rsidRDefault="00713B9C" w:rsidP="003E74C0">
      <w:pPr>
        <w:ind w:left="720"/>
        <w:jc w:val="left"/>
        <w:rPr>
          <w:rFonts w:asciiTheme="minorHAnsi" w:hAnsiTheme="minorHAnsi" w:cstheme="minorHAnsi"/>
          <w:sz w:val="24"/>
          <w:szCs w:val="24"/>
        </w:rPr>
      </w:pPr>
    </w:p>
    <w:p w14:paraId="70C11D10" w14:textId="77777777" w:rsidR="00583700" w:rsidRPr="003E74C0" w:rsidRDefault="00713B9C"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lastRenderedPageBreak/>
        <w:t xml:space="preserve">Be sure to check </w:t>
      </w:r>
      <w:r w:rsidR="0056447B" w:rsidRPr="003E74C0">
        <w:rPr>
          <w:rFonts w:asciiTheme="minorHAnsi" w:hAnsiTheme="minorHAnsi" w:cstheme="minorHAnsi"/>
          <w:sz w:val="24"/>
          <w:szCs w:val="24"/>
        </w:rPr>
        <w:t>“</w:t>
      </w:r>
      <w:r w:rsidR="00D54A2E" w:rsidRPr="003E74C0">
        <w:rPr>
          <w:rFonts w:asciiTheme="minorHAnsi" w:hAnsiTheme="minorHAnsi" w:cstheme="minorHAnsi"/>
          <w:sz w:val="24"/>
          <w:szCs w:val="24"/>
        </w:rPr>
        <w:t>Final Application</w:t>
      </w:r>
      <w:r w:rsidR="0056447B" w:rsidRPr="003E74C0">
        <w:rPr>
          <w:rFonts w:asciiTheme="minorHAnsi" w:hAnsiTheme="minorHAnsi" w:cstheme="minorHAnsi"/>
          <w:sz w:val="24"/>
          <w:szCs w:val="24"/>
        </w:rPr>
        <w:t xml:space="preserve">” </w:t>
      </w:r>
      <w:r w:rsidRPr="003E74C0">
        <w:rPr>
          <w:rFonts w:asciiTheme="minorHAnsi" w:hAnsiTheme="minorHAnsi" w:cstheme="minorHAnsi"/>
          <w:sz w:val="24"/>
          <w:szCs w:val="24"/>
        </w:rPr>
        <w:t>in the</w:t>
      </w:r>
      <w:r w:rsidR="0056447B" w:rsidRPr="003E74C0">
        <w:rPr>
          <w:rFonts w:asciiTheme="minorHAnsi" w:hAnsiTheme="minorHAnsi" w:cstheme="minorHAnsi"/>
          <w:sz w:val="24"/>
          <w:szCs w:val="24"/>
        </w:rPr>
        <w:t xml:space="preserve"> “Application Type” section. </w:t>
      </w:r>
      <w:r w:rsidRPr="003E74C0">
        <w:rPr>
          <w:rFonts w:asciiTheme="minorHAnsi" w:hAnsiTheme="minorHAnsi" w:cstheme="minorHAnsi"/>
          <w:b/>
          <w:sz w:val="24"/>
          <w:szCs w:val="24"/>
        </w:rPr>
        <w:t xml:space="preserve">Do not submit a </w:t>
      </w:r>
      <w:r w:rsidR="00D54A2E" w:rsidRPr="003E74C0">
        <w:rPr>
          <w:rFonts w:asciiTheme="minorHAnsi" w:hAnsiTheme="minorHAnsi" w:cstheme="minorHAnsi"/>
          <w:b/>
          <w:sz w:val="24"/>
          <w:szCs w:val="24"/>
        </w:rPr>
        <w:t>Final Application</w:t>
      </w:r>
      <w:r w:rsidR="0056447B" w:rsidRPr="003E74C0">
        <w:rPr>
          <w:rFonts w:asciiTheme="minorHAnsi" w:hAnsiTheme="minorHAnsi" w:cstheme="minorHAnsi"/>
          <w:b/>
          <w:sz w:val="24"/>
          <w:szCs w:val="24"/>
        </w:rPr>
        <w:t xml:space="preserve"> unless all work has been completed.</w:t>
      </w:r>
      <w:r w:rsidR="0056447B" w:rsidRPr="003E74C0">
        <w:rPr>
          <w:rFonts w:asciiTheme="minorHAnsi" w:hAnsiTheme="minorHAnsi" w:cstheme="minorHAnsi"/>
          <w:sz w:val="24"/>
          <w:szCs w:val="24"/>
        </w:rPr>
        <w:t xml:space="preserve"> Program funds are limited and submission of a </w:t>
      </w:r>
      <w:r w:rsidR="00D54A2E" w:rsidRPr="003E74C0">
        <w:rPr>
          <w:rFonts w:asciiTheme="minorHAnsi" w:hAnsiTheme="minorHAnsi" w:cstheme="minorHAnsi"/>
          <w:sz w:val="24"/>
          <w:szCs w:val="24"/>
        </w:rPr>
        <w:t>Final Application</w:t>
      </w:r>
      <w:r w:rsidR="0056447B" w:rsidRPr="003E74C0">
        <w:rPr>
          <w:rFonts w:asciiTheme="minorHAnsi" w:hAnsiTheme="minorHAnsi" w:cstheme="minorHAnsi"/>
          <w:sz w:val="24"/>
          <w:szCs w:val="24"/>
        </w:rPr>
        <w:t xml:space="preserve"> does not guarantee an incentive payment.</w:t>
      </w:r>
    </w:p>
    <w:p w14:paraId="3B84E6EC" w14:textId="77777777" w:rsidR="00583700" w:rsidRPr="003E74C0" w:rsidRDefault="00583700" w:rsidP="003E74C0">
      <w:pPr>
        <w:ind w:left="720"/>
        <w:jc w:val="left"/>
        <w:rPr>
          <w:rFonts w:asciiTheme="minorHAnsi" w:hAnsiTheme="minorHAnsi" w:cstheme="minorHAnsi"/>
          <w:sz w:val="24"/>
          <w:szCs w:val="24"/>
        </w:rPr>
      </w:pPr>
    </w:p>
    <w:p w14:paraId="749BCC2A" w14:textId="77777777" w:rsidR="0056447B" w:rsidRPr="003E74C0" w:rsidRDefault="00583700"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If the customer intends to apply for state or federal tax credits, the estimated amount of those credits must be disclosed on the </w:t>
      </w:r>
      <w:r w:rsidR="00612A2F" w:rsidRPr="003E74C0">
        <w:rPr>
          <w:rFonts w:asciiTheme="minorHAnsi" w:hAnsiTheme="minorHAnsi" w:cstheme="minorHAnsi"/>
          <w:sz w:val="24"/>
          <w:szCs w:val="24"/>
        </w:rPr>
        <w:t>application or</w:t>
      </w:r>
      <w:r w:rsidRPr="003E74C0">
        <w:rPr>
          <w:rFonts w:asciiTheme="minorHAnsi" w:hAnsiTheme="minorHAnsi" w:cstheme="minorHAnsi"/>
          <w:sz w:val="24"/>
          <w:szCs w:val="24"/>
        </w:rPr>
        <w:t xml:space="preserve"> written on the equipment invoice. The incremental cost of the measure will be reduced by these anticipated credits prior to applying the 75% cap.  </w:t>
      </w:r>
      <w:r w:rsidR="0056447B" w:rsidRPr="003E74C0">
        <w:rPr>
          <w:rFonts w:asciiTheme="minorHAnsi" w:hAnsiTheme="minorHAnsi" w:cstheme="minorHAnsi"/>
          <w:sz w:val="24"/>
          <w:szCs w:val="24"/>
        </w:rPr>
        <w:t xml:space="preserve"> </w:t>
      </w:r>
    </w:p>
    <w:p w14:paraId="17F45EB2" w14:textId="77777777" w:rsidR="0056447B" w:rsidRPr="003E74C0" w:rsidRDefault="0056447B" w:rsidP="003E74C0">
      <w:pPr>
        <w:ind w:left="720"/>
        <w:jc w:val="left"/>
        <w:rPr>
          <w:rFonts w:asciiTheme="minorHAnsi" w:hAnsiTheme="minorHAnsi" w:cstheme="minorHAnsi"/>
          <w:sz w:val="24"/>
          <w:szCs w:val="24"/>
        </w:rPr>
      </w:pPr>
    </w:p>
    <w:p w14:paraId="14E19AD3" w14:textId="77777777" w:rsidR="0056447B" w:rsidRPr="003E74C0" w:rsidRDefault="0056447B" w:rsidP="003E74C0">
      <w:pPr>
        <w:ind w:left="720"/>
        <w:jc w:val="left"/>
        <w:rPr>
          <w:rFonts w:asciiTheme="minorHAnsi" w:hAnsiTheme="minorHAnsi" w:cstheme="minorHAnsi"/>
          <w:sz w:val="24"/>
          <w:szCs w:val="24"/>
        </w:rPr>
      </w:pPr>
      <w:r w:rsidRPr="003E74C0">
        <w:rPr>
          <w:rFonts w:asciiTheme="minorHAnsi" w:hAnsiTheme="minorHAnsi" w:cstheme="minorHAnsi"/>
          <w:b/>
          <w:bCs/>
          <w:sz w:val="24"/>
          <w:szCs w:val="24"/>
        </w:rPr>
        <w:t>A customer signature is required for payment</w:t>
      </w:r>
      <w:r w:rsidRPr="003E74C0">
        <w:rPr>
          <w:rFonts w:asciiTheme="minorHAnsi" w:hAnsiTheme="minorHAnsi" w:cstheme="minorHAnsi"/>
          <w:sz w:val="24"/>
          <w:szCs w:val="24"/>
        </w:rPr>
        <w:t xml:space="preserve">. </w:t>
      </w:r>
      <w:r w:rsidR="00704B6C" w:rsidRPr="003E74C0">
        <w:rPr>
          <w:rFonts w:asciiTheme="minorHAnsi" w:hAnsiTheme="minorHAnsi" w:cstheme="minorHAnsi"/>
          <w:sz w:val="24"/>
          <w:szCs w:val="24"/>
        </w:rPr>
        <w:t>Customers</w:t>
      </w:r>
      <w:r w:rsidRPr="003E74C0">
        <w:rPr>
          <w:rFonts w:asciiTheme="minorHAnsi" w:hAnsiTheme="minorHAnsi" w:cstheme="minorHAnsi"/>
          <w:sz w:val="24"/>
          <w:szCs w:val="24"/>
        </w:rPr>
        <w:t xml:space="preserve"> can designate a third party as the recipient for the final rebate payment. </w:t>
      </w:r>
      <w:r w:rsidR="00704B6C" w:rsidRPr="003E74C0">
        <w:rPr>
          <w:rFonts w:asciiTheme="minorHAnsi" w:hAnsiTheme="minorHAnsi" w:cstheme="minorHAnsi"/>
          <w:sz w:val="24"/>
          <w:szCs w:val="24"/>
        </w:rPr>
        <w:t>Customers</w:t>
      </w:r>
      <w:r w:rsidRPr="003E74C0">
        <w:rPr>
          <w:rFonts w:asciiTheme="minorHAnsi" w:hAnsiTheme="minorHAnsi" w:cstheme="minorHAnsi"/>
          <w:sz w:val="24"/>
          <w:szCs w:val="24"/>
        </w:rPr>
        <w:t xml:space="preserve"> must sign the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xml:space="preserve"> and initial the agreement in the appropriate places as indicated on the application. An original signature from the customer, and third party if applicable, is required on the application before funds can be paid.</w:t>
      </w:r>
    </w:p>
    <w:p w14:paraId="2DFD410F" w14:textId="77777777" w:rsidR="0056447B" w:rsidRPr="003E74C0" w:rsidRDefault="0056447B" w:rsidP="0056447B">
      <w:pPr>
        <w:jc w:val="left"/>
        <w:rPr>
          <w:rFonts w:asciiTheme="minorHAnsi" w:hAnsiTheme="minorHAnsi" w:cstheme="minorHAnsi"/>
          <w:sz w:val="24"/>
          <w:szCs w:val="24"/>
        </w:rPr>
      </w:pPr>
    </w:p>
    <w:p w14:paraId="67B59CF6" w14:textId="77777777" w:rsidR="0056447B" w:rsidRPr="003E74C0" w:rsidRDefault="0056447B" w:rsidP="0056447B">
      <w:pPr>
        <w:jc w:val="left"/>
        <w:rPr>
          <w:rFonts w:asciiTheme="minorHAnsi" w:hAnsiTheme="minorHAnsi" w:cstheme="minorHAnsi"/>
          <w:b/>
          <w:sz w:val="28"/>
          <w:szCs w:val="24"/>
        </w:rPr>
      </w:pPr>
      <w:r w:rsidRPr="003E74C0">
        <w:rPr>
          <w:rFonts w:asciiTheme="minorHAnsi" w:hAnsiTheme="minorHAnsi" w:cstheme="minorHAnsi"/>
          <w:b/>
          <w:sz w:val="28"/>
          <w:szCs w:val="24"/>
        </w:rPr>
        <w:t>Step 5:  Project Review</w:t>
      </w:r>
    </w:p>
    <w:p w14:paraId="3D537244" w14:textId="77777777" w:rsidR="0056447B" w:rsidRPr="003E74C0" w:rsidRDefault="0056447B" w:rsidP="0056447B">
      <w:pPr>
        <w:jc w:val="left"/>
        <w:rPr>
          <w:rFonts w:asciiTheme="minorHAnsi" w:hAnsiTheme="minorHAnsi" w:cstheme="minorHAnsi"/>
          <w:sz w:val="24"/>
          <w:szCs w:val="24"/>
        </w:rPr>
      </w:pPr>
    </w:p>
    <w:p w14:paraId="45537FEE" w14:textId="77777777" w:rsidR="00583700" w:rsidRPr="003E74C0" w:rsidRDefault="00583700"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The Commercial Energy Solutions team will review all applications and final project documentation in the order received. The team reserves the right to request additional supporting documentation as deemed necessary to ensure measure eligibility and verify that the expected energy savings will occur. Additional documentation may include, but is not limited to: equipment purchase dates, installation dates, proof that the equipment is operational, manufacturer specifications, warranty information, proof of customer </w:t>
      </w:r>
      <w:r w:rsidR="009B7593" w:rsidRPr="003E74C0">
        <w:rPr>
          <w:rFonts w:asciiTheme="minorHAnsi" w:hAnsiTheme="minorHAnsi" w:cstheme="minorHAnsi"/>
          <w:sz w:val="24"/>
          <w:szCs w:val="24"/>
        </w:rPr>
        <w:t>copayment</w:t>
      </w:r>
      <w:r w:rsidRPr="003E74C0">
        <w:rPr>
          <w:rFonts w:asciiTheme="minorHAnsi" w:hAnsiTheme="minorHAnsi" w:cstheme="minorHAnsi"/>
          <w:sz w:val="24"/>
          <w:szCs w:val="24"/>
        </w:rPr>
        <w:t xml:space="preserve">, or commissioning reports. </w:t>
      </w:r>
    </w:p>
    <w:p w14:paraId="2F5FB683" w14:textId="77777777" w:rsidR="00583700" w:rsidRPr="003E74C0" w:rsidRDefault="00583700" w:rsidP="003E74C0">
      <w:pPr>
        <w:ind w:left="720"/>
        <w:jc w:val="left"/>
        <w:rPr>
          <w:rFonts w:asciiTheme="minorHAnsi" w:hAnsiTheme="minorHAnsi" w:cstheme="minorHAnsi"/>
          <w:sz w:val="24"/>
          <w:szCs w:val="24"/>
        </w:rPr>
      </w:pPr>
    </w:p>
    <w:p w14:paraId="05E98C65" w14:textId="77777777" w:rsidR="00583700" w:rsidRPr="003E74C0" w:rsidRDefault="00583700"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 xml:space="preserve">All projects that request and/or receive incentive funding may require onsite inspections and/or equipment monitoring to verify energy savings before determining the final incentive payment. </w:t>
      </w:r>
    </w:p>
    <w:p w14:paraId="6BBBB922" w14:textId="77777777" w:rsidR="00583700" w:rsidRPr="00583700" w:rsidRDefault="00583700" w:rsidP="00583700">
      <w:pPr>
        <w:pStyle w:val="ListParagraph"/>
        <w:ind w:left="720"/>
        <w:rPr>
          <w:rFonts w:cstheme="minorHAnsi"/>
        </w:rPr>
      </w:pPr>
    </w:p>
    <w:p w14:paraId="1BBA4145" w14:textId="77777777" w:rsidR="0056447B" w:rsidRPr="003E74C0" w:rsidRDefault="0056447B" w:rsidP="0056447B">
      <w:pPr>
        <w:jc w:val="left"/>
        <w:rPr>
          <w:rFonts w:asciiTheme="minorHAnsi" w:hAnsiTheme="minorHAnsi" w:cstheme="minorHAnsi"/>
          <w:b/>
          <w:sz w:val="28"/>
          <w:szCs w:val="22"/>
        </w:rPr>
      </w:pPr>
      <w:r w:rsidRPr="003E74C0">
        <w:rPr>
          <w:rFonts w:asciiTheme="minorHAnsi" w:hAnsiTheme="minorHAnsi" w:cstheme="minorHAnsi"/>
          <w:b/>
          <w:sz w:val="28"/>
          <w:szCs w:val="22"/>
        </w:rPr>
        <w:t>Step 6:  Payment is Processed</w:t>
      </w:r>
    </w:p>
    <w:p w14:paraId="5366A78B" w14:textId="77777777" w:rsidR="0056447B" w:rsidRPr="00CA2715" w:rsidRDefault="0056447B" w:rsidP="0056447B">
      <w:pPr>
        <w:jc w:val="left"/>
        <w:rPr>
          <w:rFonts w:asciiTheme="minorHAnsi" w:hAnsiTheme="minorHAnsi" w:cstheme="minorHAnsi"/>
          <w:szCs w:val="22"/>
        </w:rPr>
      </w:pPr>
    </w:p>
    <w:p w14:paraId="2436512C" w14:textId="77777777" w:rsidR="0056447B" w:rsidRPr="003E74C0" w:rsidRDefault="00987540" w:rsidP="003E74C0">
      <w:pPr>
        <w:ind w:left="720"/>
        <w:jc w:val="left"/>
        <w:rPr>
          <w:rFonts w:asciiTheme="minorHAnsi" w:hAnsiTheme="minorHAnsi" w:cstheme="minorHAnsi"/>
          <w:sz w:val="24"/>
          <w:szCs w:val="24"/>
        </w:rPr>
      </w:pPr>
      <w:r w:rsidRPr="003E74C0">
        <w:rPr>
          <w:rFonts w:asciiTheme="minorHAnsi" w:hAnsiTheme="minorHAnsi" w:cstheme="minorHAnsi"/>
          <w:sz w:val="24"/>
          <w:szCs w:val="24"/>
        </w:rPr>
        <w:t>Rebates are processed</w:t>
      </w:r>
      <w:r w:rsidR="0056447B" w:rsidRPr="003E74C0">
        <w:rPr>
          <w:rFonts w:asciiTheme="minorHAnsi" w:hAnsiTheme="minorHAnsi" w:cstheme="minorHAnsi"/>
          <w:sz w:val="24"/>
          <w:szCs w:val="24"/>
        </w:rPr>
        <w:t xml:space="preserve"> within 4 to 6 weeks </w:t>
      </w:r>
      <w:r w:rsidRPr="003E74C0">
        <w:rPr>
          <w:rFonts w:asciiTheme="minorHAnsi" w:hAnsiTheme="minorHAnsi" w:cstheme="minorHAnsi"/>
          <w:sz w:val="24"/>
          <w:szCs w:val="24"/>
        </w:rPr>
        <w:t>after all</w:t>
      </w:r>
      <w:r w:rsidR="0056447B" w:rsidRPr="003E74C0">
        <w:rPr>
          <w:rFonts w:asciiTheme="minorHAnsi" w:hAnsiTheme="minorHAnsi" w:cstheme="minorHAnsi"/>
          <w:sz w:val="24"/>
          <w:szCs w:val="24"/>
        </w:rPr>
        <w:t xml:space="preserve"> documentation is received, the final review is complete</w:t>
      </w:r>
      <w:r w:rsidRPr="003E74C0">
        <w:rPr>
          <w:rFonts w:asciiTheme="minorHAnsi" w:hAnsiTheme="minorHAnsi" w:cstheme="minorHAnsi"/>
          <w:sz w:val="24"/>
          <w:szCs w:val="24"/>
        </w:rPr>
        <w:t xml:space="preserve">d </w:t>
      </w:r>
      <w:r w:rsidR="0056447B" w:rsidRPr="003E74C0">
        <w:rPr>
          <w:rFonts w:asciiTheme="minorHAnsi" w:hAnsiTheme="minorHAnsi" w:cstheme="minorHAnsi"/>
          <w:sz w:val="24"/>
          <w:szCs w:val="24"/>
        </w:rPr>
        <w:t xml:space="preserve">and </w:t>
      </w:r>
      <w:r w:rsidRPr="003E74C0">
        <w:rPr>
          <w:rFonts w:asciiTheme="minorHAnsi" w:hAnsiTheme="minorHAnsi" w:cstheme="minorHAnsi"/>
          <w:sz w:val="24"/>
          <w:szCs w:val="24"/>
        </w:rPr>
        <w:t xml:space="preserve">a </w:t>
      </w:r>
      <w:r w:rsidR="0056447B" w:rsidRPr="003E74C0">
        <w:rPr>
          <w:rFonts w:asciiTheme="minorHAnsi" w:hAnsiTheme="minorHAnsi" w:cstheme="minorHAnsi"/>
          <w:sz w:val="24"/>
          <w:szCs w:val="24"/>
        </w:rPr>
        <w:t>post-inspection</w:t>
      </w:r>
      <w:r w:rsidRPr="003E74C0">
        <w:rPr>
          <w:rFonts w:asciiTheme="minorHAnsi" w:hAnsiTheme="minorHAnsi" w:cstheme="minorHAnsi"/>
          <w:sz w:val="24"/>
          <w:szCs w:val="24"/>
        </w:rPr>
        <w:t xml:space="preserve">, if required, is conducted. </w:t>
      </w:r>
    </w:p>
    <w:p w14:paraId="52D4B802" w14:textId="77777777" w:rsidR="0056447B" w:rsidRPr="00CA2715" w:rsidRDefault="0056447B" w:rsidP="0056447B">
      <w:pPr>
        <w:jc w:val="left"/>
        <w:rPr>
          <w:rFonts w:asciiTheme="minorHAnsi" w:hAnsiTheme="minorHAnsi" w:cstheme="minorHAnsi"/>
          <w:szCs w:val="22"/>
        </w:rPr>
      </w:pPr>
    </w:p>
    <w:p w14:paraId="45A41951" w14:textId="77777777" w:rsidR="00583700" w:rsidRDefault="00583700" w:rsidP="00583700">
      <w:pPr>
        <w:pStyle w:val="Heading1"/>
        <w:numPr>
          <w:ilvl w:val="0"/>
          <w:numId w:val="3"/>
        </w:numPr>
        <w:spacing w:before="120" w:after="120"/>
        <w:jc w:val="left"/>
        <w:rPr>
          <w:rFonts w:asciiTheme="minorHAnsi" w:hAnsiTheme="minorHAnsi" w:cstheme="minorHAnsi"/>
        </w:rPr>
      </w:pPr>
      <w:bookmarkStart w:id="25" w:name="_Toc511996622"/>
      <w:bookmarkStart w:id="26" w:name="_Toc511029307"/>
      <w:r>
        <w:rPr>
          <w:rFonts w:asciiTheme="minorHAnsi" w:hAnsiTheme="minorHAnsi" w:cstheme="minorHAnsi"/>
        </w:rPr>
        <w:t>Inspections</w:t>
      </w:r>
      <w:bookmarkEnd w:id="25"/>
    </w:p>
    <w:p w14:paraId="436C042E" w14:textId="77777777" w:rsidR="00583700" w:rsidRPr="003E74C0" w:rsidRDefault="00583700" w:rsidP="00583700">
      <w:pPr>
        <w:pStyle w:val="CM17"/>
        <w:spacing w:after="240" w:line="253" w:lineRule="atLeast"/>
        <w:ind w:right="380"/>
        <w:rPr>
          <w:rFonts w:asciiTheme="minorHAnsi" w:hAnsiTheme="minorHAnsi" w:cstheme="minorHAnsi"/>
        </w:rPr>
      </w:pPr>
      <w:r w:rsidRPr="003E74C0">
        <w:rPr>
          <w:rFonts w:asciiTheme="minorHAnsi" w:hAnsiTheme="minorHAnsi" w:cstheme="minorHAnsi"/>
        </w:rPr>
        <w:t xml:space="preserve">UES reserves the right to require pre- and/or post-inspections of all projects to ensure quality control. Inspections may include requests for detailed lighting layout descriptions, metering, data collection, interviews and utility bill data analyses. Applicants must provide UES with access to their records and project sites for up to five years after receipt of rebates. All projects are subject to inspection for independent measurement and verification (M&amp;V) purposes. If selected, the customer will be contacted by a UES representative to schedule an onsite inspection. Measurement and verification may include </w:t>
      </w:r>
      <w:r w:rsidRPr="003E74C0">
        <w:rPr>
          <w:rFonts w:asciiTheme="minorHAnsi" w:hAnsiTheme="minorHAnsi" w:cstheme="minorHAnsi"/>
        </w:rPr>
        <w:lastRenderedPageBreak/>
        <w:t xml:space="preserve">obtaining logged data on individual project components. </w:t>
      </w:r>
    </w:p>
    <w:p w14:paraId="21E924B1"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27" w:name="_Toc511996623"/>
      <w:r w:rsidRPr="00CA2715">
        <w:rPr>
          <w:rFonts w:asciiTheme="minorHAnsi" w:hAnsiTheme="minorHAnsi" w:cstheme="minorHAnsi"/>
        </w:rPr>
        <w:t>Payment Process</w:t>
      </w:r>
      <w:bookmarkEnd w:id="26"/>
      <w:bookmarkEnd w:id="27"/>
    </w:p>
    <w:p w14:paraId="083154D3" w14:textId="77777777" w:rsidR="0056447B" w:rsidRPr="003E74C0" w:rsidRDefault="009B2435" w:rsidP="0056447B">
      <w:pPr>
        <w:jc w:val="left"/>
        <w:rPr>
          <w:rFonts w:asciiTheme="minorHAnsi" w:hAnsiTheme="minorHAnsi" w:cstheme="minorHAnsi"/>
          <w:sz w:val="24"/>
          <w:szCs w:val="24"/>
        </w:rPr>
      </w:pPr>
      <w:r w:rsidRPr="003E74C0">
        <w:rPr>
          <w:rFonts w:asciiTheme="minorHAnsi" w:hAnsiTheme="minorHAnsi" w:cstheme="minorHAnsi"/>
          <w:sz w:val="24"/>
          <w:szCs w:val="24"/>
        </w:rPr>
        <w:t>I</w:t>
      </w:r>
      <w:r w:rsidR="0056447B" w:rsidRPr="003E74C0">
        <w:rPr>
          <w:rFonts w:asciiTheme="minorHAnsi" w:hAnsiTheme="minorHAnsi" w:cstheme="minorHAnsi"/>
          <w:sz w:val="24"/>
          <w:szCs w:val="24"/>
        </w:rPr>
        <w:t xml:space="preserve">ncentives will be paid directly to customers. </w:t>
      </w:r>
      <w:r w:rsidR="00987540" w:rsidRPr="003E74C0">
        <w:rPr>
          <w:rFonts w:asciiTheme="minorHAnsi" w:hAnsiTheme="minorHAnsi" w:cstheme="minorHAnsi"/>
          <w:sz w:val="24"/>
          <w:szCs w:val="24"/>
        </w:rPr>
        <w:t>The</w:t>
      </w:r>
      <w:r w:rsidR="0056447B" w:rsidRPr="003E74C0">
        <w:rPr>
          <w:rFonts w:asciiTheme="minorHAnsi" w:hAnsiTheme="minorHAnsi" w:cstheme="minorHAnsi"/>
          <w:sz w:val="24"/>
          <w:szCs w:val="24"/>
        </w:rPr>
        <w:t xml:space="preserve"> customer may designate a third-party, such as a contractor or corporate office, to receive the rebate by filling out the payment release authorization portion of application’s applicant information page. The customer must indicate the exact name of the designated payee, complete mailing address, and the appropriate tax identification number. A signed W9 is required from the third party if </w:t>
      </w:r>
      <w:r w:rsidR="00045431" w:rsidRPr="003E74C0">
        <w:rPr>
          <w:rFonts w:asciiTheme="minorHAnsi" w:hAnsiTheme="minorHAnsi" w:cstheme="minorHAnsi"/>
          <w:sz w:val="24"/>
          <w:szCs w:val="24"/>
        </w:rPr>
        <w:t xml:space="preserve">they are </w:t>
      </w:r>
      <w:r w:rsidR="0056447B" w:rsidRPr="003E74C0">
        <w:rPr>
          <w:rFonts w:asciiTheme="minorHAnsi" w:hAnsiTheme="minorHAnsi" w:cstheme="minorHAnsi"/>
          <w:sz w:val="24"/>
          <w:szCs w:val="24"/>
        </w:rPr>
        <w:t xml:space="preserve">receiving incentive payment(s).  </w:t>
      </w:r>
    </w:p>
    <w:p w14:paraId="678FD0CE" w14:textId="77777777" w:rsidR="0056447B" w:rsidRPr="003E74C0" w:rsidRDefault="0056447B" w:rsidP="0056447B">
      <w:pPr>
        <w:jc w:val="left"/>
        <w:rPr>
          <w:rFonts w:asciiTheme="minorHAnsi" w:hAnsiTheme="minorHAnsi" w:cstheme="minorHAnsi"/>
          <w:sz w:val="24"/>
          <w:szCs w:val="24"/>
        </w:rPr>
      </w:pPr>
    </w:p>
    <w:p w14:paraId="134A6AD8" w14:textId="77777777" w:rsidR="007304DD"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Payments will not be made until the proper project documentation is submitted to and reviewed by</w:t>
      </w:r>
      <w:r w:rsidR="00114A44" w:rsidRPr="003E74C0">
        <w:rPr>
          <w:rFonts w:asciiTheme="minorHAnsi" w:hAnsiTheme="minorHAnsi" w:cstheme="minorHAnsi"/>
          <w:sz w:val="24"/>
          <w:szCs w:val="24"/>
        </w:rPr>
        <w:t xml:space="preserve"> </w:t>
      </w:r>
      <w:r w:rsidRPr="003E74C0">
        <w:rPr>
          <w:rFonts w:asciiTheme="minorHAnsi" w:hAnsiTheme="minorHAnsi" w:cstheme="minorHAnsi"/>
          <w:sz w:val="24"/>
          <w:szCs w:val="24"/>
        </w:rPr>
        <w:t xml:space="preserve">the </w:t>
      </w:r>
      <w:r w:rsidR="00583700"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 </w:t>
      </w:r>
      <w:r w:rsidR="007D1CF4" w:rsidRPr="003E74C0">
        <w:rPr>
          <w:rFonts w:asciiTheme="minorHAnsi" w:hAnsiTheme="minorHAnsi" w:cstheme="minorHAnsi"/>
          <w:sz w:val="24"/>
          <w:szCs w:val="24"/>
        </w:rPr>
        <w:t>t</w:t>
      </w:r>
      <w:r w:rsidR="00114A44" w:rsidRPr="003E74C0">
        <w:rPr>
          <w:rFonts w:asciiTheme="minorHAnsi" w:hAnsiTheme="minorHAnsi" w:cstheme="minorHAnsi"/>
          <w:sz w:val="24"/>
          <w:szCs w:val="24"/>
        </w:rPr>
        <w:t>eam</w:t>
      </w:r>
      <w:r w:rsidRPr="003E74C0">
        <w:rPr>
          <w:rFonts w:asciiTheme="minorHAnsi" w:hAnsiTheme="minorHAnsi" w:cstheme="minorHAnsi"/>
          <w:sz w:val="24"/>
          <w:szCs w:val="24"/>
        </w:rPr>
        <w:t xml:space="preserve">. All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xml:space="preserve">s must be fully completed with all required final documentation </w:t>
      </w:r>
      <w:r w:rsidR="00114A44" w:rsidRPr="003E74C0">
        <w:rPr>
          <w:rFonts w:asciiTheme="minorHAnsi" w:hAnsiTheme="minorHAnsi" w:cstheme="minorHAnsi"/>
          <w:sz w:val="24"/>
          <w:szCs w:val="24"/>
        </w:rPr>
        <w:t xml:space="preserve">provided </w:t>
      </w:r>
      <w:r w:rsidRPr="003E74C0">
        <w:rPr>
          <w:rFonts w:asciiTheme="minorHAnsi" w:hAnsiTheme="minorHAnsi" w:cstheme="minorHAnsi"/>
          <w:sz w:val="24"/>
          <w:szCs w:val="24"/>
        </w:rPr>
        <w:t xml:space="preserve">as indicated on the application documents.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xml:space="preserve">s </w:t>
      </w:r>
      <w:r w:rsidR="00114A44" w:rsidRPr="003E74C0">
        <w:rPr>
          <w:rFonts w:asciiTheme="minorHAnsi" w:hAnsiTheme="minorHAnsi" w:cstheme="minorHAnsi"/>
          <w:sz w:val="24"/>
          <w:szCs w:val="24"/>
        </w:rPr>
        <w:t>must be signed by the customer and</w:t>
      </w:r>
      <w:r w:rsidRPr="003E74C0">
        <w:rPr>
          <w:rFonts w:asciiTheme="minorHAnsi" w:hAnsiTheme="minorHAnsi" w:cstheme="minorHAnsi"/>
          <w:sz w:val="24"/>
          <w:szCs w:val="24"/>
        </w:rPr>
        <w:t xml:space="preserve">, if applicable, </w:t>
      </w:r>
      <w:r w:rsidR="00114A44" w:rsidRPr="003E74C0">
        <w:rPr>
          <w:rFonts w:asciiTheme="minorHAnsi" w:hAnsiTheme="minorHAnsi" w:cstheme="minorHAnsi"/>
          <w:sz w:val="24"/>
          <w:szCs w:val="24"/>
        </w:rPr>
        <w:t>a</w:t>
      </w:r>
      <w:r w:rsidRPr="003E74C0">
        <w:rPr>
          <w:rFonts w:asciiTheme="minorHAnsi" w:hAnsiTheme="minorHAnsi" w:cstheme="minorHAnsi"/>
          <w:sz w:val="24"/>
          <w:szCs w:val="24"/>
        </w:rPr>
        <w:t xml:space="preserve"> </w:t>
      </w:r>
      <w:r w:rsidR="00570B76" w:rsidRPr="003E74C0">
        <w:rPr>
          <w:rFonts w:asciiTheme="minorHAnsi" w:hAnsiTheme="minorHAnsi" w:cstheme="minorHAnsi"/>
          <w:sz w:val="24"/>
          <w:szCs w:val="24"/>
        </w:rPr>
        <w:t>third-party</w:t>
      </w:r>
      <w:r w:rsidR="00114A44" w:rsidRPr="003E74C0">
        <w:rPr>
          <w:rFonts w:asciiTheme="minorHAnsi" w:hAnsiTheme="minorHAnsi" w:cstheme="minorHAnsi"/>
          <w:sz w:val="24"/>
          <w:szCs w:val="24"/>
        </w:rPr>
        <w:t xml:space="preserve"> payee</w:t>
      </w:r>
      <w:r w:rsidRPr="003E74C0">
        <w:rPr>
          <w:rFonts w:asciiTheme="minorHAnsi" w:hAnsiTheme="minorHAnsi" w:cstheme="minorHAnsi"/>
          <w:sz w:val="24"/>
          <w:szCs w:val="24"/>
        </w:rPr>
        <w:t xml:space="preserve">. </w:t>
      </w:r>
    </w:p>
    <w:p w14:paraId="28F1AB8C"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28" w:name="_Toc511029308"/>
      <w:bookmarkStart w:id="29" w:name="_Toc511996624"/>
      <w:r w:rsidRPr="00CA2715">
        <w:rPr>
          <w:rFonts w:asciiTheme="minorHAnsi" w:hAnsiTheme="minorHAnsi" w:cstheme="minorHAnsi"/>
        </w:rPr>
        <w:t xml:space="preserve">Application </w:t>
      </w:r>
      <w:r w:rsidR="009B2435">
        <w:rPr>
          <w:rFonts w:asciiTheme="minorHAnsi" w:hAnsiTheme="minorHAnsi" w:cstheme="minorHAnsi"/>
        </w:rPr>
        <w:t xml:space="preserve">Changes </w:t>
      </w:r>
      <w:r w:rsidRPr="00CA2715">
        <w:rPr>
          <w:rFonts w:asciiTheme="minorHAnsi" w:hAnsiTheme="minorHAnsi" w:cstheme="minorHAnsi"/>
        </w:rPr>
        <w:t>or Discrepancies after Verification</w:t>
      </w:r>
      <w:bookmarkEnd w:id="28"/>
      <w:bookmarkEnd w:id="29"/>
    </w:p>
    <w:p w14:paraId="5A4EF3D9" w14:textId="77777777" w:rsidR="00114A44"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If the project scope has changed or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xml:space="preserve"> funding request differs from the </w:t>
      </w:r>
      <w:r w:rsidR="00A929AF" w:rsidRPr="003E74C0">
        <w:rPr>
          <w:rFonts w:asciiTheme="minorHAnsi" w:hAnsiTheme="minorHAnsi" w:cstheme="minorHAnsi"/>
          <w:sz w:val="24"/>
          <w:szCs w:val="24"/>
        </w:rPr>
        <w:t xml:space="preserve">Pre-Notification Application </w:t>
      </w:r>
      <w:r w:rsidRPr="003E74C0">
        <w:rPr>
          <w:rFonts w:asciiTheme="minorHAnsi" w:hAnsiTheme="minorHAnsi" w:cstheme="minorHAnsi"/>
          <w:sz w:val="24"/>
          <w:szCs w:val="24"/>
        </w:rPr>
        <w:t xml:space="preserve">reserved funding amount, the project will be reviewed considering funding availability. </w:t>
      </w:r>
    </w:p>
    <w:p w14:paraId="21EDAB71" w14:textId="77777777" w:rsidR="00114A44" w:rsidRPr="003E74C0" w:rsidRDefault="00114A44" w:rsidP="0056447B">
      <w:pPr>
        <w:jc w:val="left"/>
        <w:rPr>
          <w:rFonts w:asciiTheme="minorHAnsi" w:hAnsiTheme="minorHAnsi" w:cstheme="minorHAnsi"/>
          <w:sz w:val="24"/>
          <w:szCs w:val="24"/>
        </w:rPr>
      </w:pPr>
    </w:p>
    <w:p w14:paraId="35D6DF33" w14:textId="77777777" w:rsidR="00114A44"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If the funding requested is higher than the funding initially reserved, any reserved funding that is associated with an approved portion of the project will be paid. The additional portion will be reviewed by the </w:t>
      </w:r>
      <w:r w:rsidR="008B1E53"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 </w:t>
      </w:r>
      <w:r w:rsidR="007D1CF4" w:rsidRPr="003E74C0">
        <w:rPr>
          <w:rFonts w:asciiTheme="minorHAnsi" w:hAnsiTheme="minorHAnsi" w:cstheme="minorHAnsi"/>
          <w:sz w:val="24"/>
          <w:szCs w:val="24"/>
        </w:rPr>
        <w:t>t</w:t>
      </w:r>
      <w:r w:rsidR="00114A44" w:rsidRPr="003E74C0">
        <w:rPr>
          <w:rFonts w:asciiTheme="minorHAnsi" w:hAnsiTheme="minorHAnsi" w:cstheme="minorHAnsi"/>
          <w:sz w:val="24"/>
          <w:szCs w:val="24"/>
        </w:rPr>
        <w:t>eam</w:t>
      </w:r>
      <w:r w:rsidRPr="003E74C0">
        <w:rPr>
          <w:rFonts w:asciiTheme="minorHAnsi" w:hAnsiTheme="minorHAnsi" w:cstheme="minorHAnsi"/>
          <w:sz w:val="24"/>
          <w:szCs w:val="24"/>
        </w:rPr>
        <w:t>. If the additional portion is approved</w:t>
      </w:r>
      <w:r w:rsidR="00114A44" w:rsidRPr="003E74C0">
        <w:rPr>
          <w:rFonts w:asciiTheme="minorHAnsi" w:hAnsiTheme="minorHAnsi" w:cstheme="minorHAnsi"/>
          <w:sz w:val="24"/>
          <w:szCs w:val="24"/>
        </w:rPr>
        <w:t>, rebate</w:t>
      </w:r>
      <w:r w:rsidRPr="003E74C0">
        <w:rPr>
          <w:rFonts w:asciiTheme="minorHAnsi" w:hAnsiTheme="minorHAnsi" w:cstheme="minorHAnsi"/>
          <w:sz w:val="24"/>
          <w:szCs w:val="24"/>
        </w:rPr>
        <w:t xml:space="preserve"> funding is available</w:t>
      </w:r>
      <w:r w:rsidR="00114A44" w:rsidRPr="003E74C0">
        <w:rPr>
          <w:rFonts w:asciiTheme="minorHAnsi" w:hAnsiTheme="minorHAnsi" w:cstheme="minorHAnsi"/>
          <w:sz w:val="24"/>
          <w:szCs w:val="24"/>
        </w:rPr>
        <w:t xml:space="preserve"> </w:t>
      </w:r>
      <w:r w:rsidRPr="003E74C0">
        <w:rPr>
          <w:rFonts w:asciiTheme="minorHAnsi" w:hAnsiTheme="minorHAnsi" w:cstheme="minorHAnsi"/>
          <w:sz w:val="24"/>
          <w:szCs w:val="24"/>
        </w:rPr>
        <w:t>and</w:t>
      </w:r>
      <w:r w:rsidR="00114A44" w:rsidRPr="003E74C0">
        <w:rPr>
          <w:rFonts w:asciiTheme="minorHAnsi" w:hAnsiTheme="minorHAnsi" w:cstheme="minorHAnsi"/>
          <w:sz w:val="24"/>
          <w:szCs w:val="24"/>
        </w:rPr>
        <w:t xml:space="preserve"> rebate </w:t>
      </w:r>
      <w:r w:rsidR="00570B76" w:rsidRPr="003E74C0">
        <w:rPr>
          <w:rFonts w:asciiTheme="minorHAnsi" w:hAnsiTheme="minorHAnsi" w:cstheme="minorHAnsi"/>
          <w:sz w:val="24"/>
          <w:szCs w:val="24"/>
        </w:rPr>
        <w:t>caps</w:t>
      </w:r>
      <w:r w:rsidR="00114A44" w:rsidRPr="003E74C0">
        <w:rPr>
          <w:rFonts w:asciiTheme="minorHAnsi" w:hAnsiTheme="minorHAnsi" w:cstheme="minorHAnsi"/>
          <w:sz w:val="24"/>
          <w:szCs w:val="24"/>
        </w:rPr>
        <w:t xml:space="preserve"> have not been met</w:t>
      </w:r>
      <w:r w:rsidRPr="003E74C0">
        <w:rPr>
          <w:rFonts w:asciiTheme="minorHAnsi" w:hAnsiTheme="minorHAnsi" w:cstheme="minorHAnsi"/>
          <w:sz w:val="24"/>
          <w:szCs w:val="24"/>
        </w:rPr>
        <w:t>, the additional incentive amount</w:t>
      </w:r>
      <w:r w:rsidR="00114A44" w:rsidRPr="003E74C0">
        <w:rPr>
          <w:rFonts w:asciiTheme="minorHAnsi" w:hAnsiTheme="minorHAnsi" w:cstheme="minorHAnsi"/>
          <w:sz w:val="24"/>
          <w:szCs w:val="24"/>
        </w:rPr>
        <w:t xml:space="preserve"> </w:t>
      </w:r>
      <w:r w:rsidRPr="003E74C0">
        <w:rPr>
          <w:rFonts w:asciiTheme="minorHAnsi" w:hAnsiTheme="minorHAnsi" w:cstheme="minorHAnsi"/>
          <w:i/>
          <w:sz w:val="24"/>
          <w:szCs w:val="24"/>
        </w:rPr>
        <w:t>up to and not exceeding 10</w:t>
      </w:r>
      <w:r w:rsidR="006405FD">
        <w:rPr>
          <w:rFonts w:asciiTheme="minorHAnsi" w:hAnsiTheme="minorHAnsi" w:cstheme="minorHAnsi"/>
          <w:i/>
          <w:sz w:val="24"/>
          <w:szCs w:val="24"/>
        </w:rPr>
        <w:t>%</w:t>
      </w:r>
      <w:r w:rsidR="00114A44" w:rsidRPr="003E74C0">
        <w:rPr>
          <w:rFonts w:asciiTheme="minorHAnsi" w:hAnsiTheme="minorHAnsi" w:cstheme="minorHAnsi"/>
          <w:i/>
          <w:sz w:val="24"/>
          <w:szCs w:val="24"/>
        </w:rPr>
        <w:t xml:space="preserve"> above </w:t>
      </w:r>
      <w:r w:rsidRPr="003E74C0">
        <w:rPr>
          <w:rFonts w:asciiTheme="minorHAnsi" w:hAnsiTheme="minorHAnsi" w:cstheme="minorHAnsi"/>
          <w:i/>
          <w:sz w:val="24"/>
          <w:szCs w:val="24"/>
        </w:rPr>
        <w:t>the reserved funding amount</w:t>
      </w:r>
      <w:r w:rsidRPr="003E74C0">
        <w:rPr>
          <w:rFonts w:asciiTheme="minorHAnsi" w:hAnsiTheme="minorHAnsi" w:cstheme="minorHAnsi"/>
          <w:sz w:val="24"/>
          <w:szCs w:val="24"/>
        </w:rPr>
        <w:t xml:space="preserve"> will be added to the project total. </w:t>
      </w:r>
    </w:p>
    <w:p w14:paraId="0F3D7681" w14:textId="77777777" w:rsidR="00114A44" w:rsidRPr="003E74C0" w:rsidRDefault="00114A44" w:rsidP="0056447B">
      <w:pPr>
        <w:jc w:val="left"/>
        <w:rPr>
          <w:rFonts w:asciiTheme="minorHAnsi" w:hAnsiTheme="minorHAnsi" w:cstheme="minorHAnsi"/>
          <w:sz w:val="24"/>
          <w:szCs w:val="24"/>
        </w:rPr>
      </w:pPr>
    </w:p>
    <w:p w14:paraId="43F7F793" w14:textId="77777777" w:rsidR="0056447B"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If rebate funding </w:t>
      </w:r>
      <w:r w:rsidR="00114A44" w:rsidRPr="003E74C0">
        <w:rPr>
          <w:rFonts w:asciiTheme="minorHAnsi" w:hAnsiTheme="minorHAnsi" w:cstheme="minorHAnsi"/>
          <w:sz w:val="24"/>
          <w:szCs w:val="24"/>
        </w:rPr>
        <w:t>is un</w:t>
      </w:r>
      <w:r w:rsidRPr="003E74C0">
        <w:rPr>
          <w:rFonts w:asciiTheme="minorHAnsi" w:hAnsiTheme="minorHAnsi" w:cstheme="minorHAnsi"/>
          <w:sz w:val="24"/>
          <w:szCs w:val="24"/>
        </w:rPr>
        <w:t xml:space="preserve">available or </w:t>
      </w:r>
      <w:r w:rsidR="00114A44" w:rsidRPr="003E74C0">
        <w:rPr>
          <w:rFonts w:asciiTheme="minorHAnsi" w:hAnsiTheme="minorHAnsi" w:cstheme="minorHAnsi"/>
          <w:sz w:val="24"/>
          <w:szCs w:val="24"/>
        </w:rPr>
        <w:t xml:space="preserve">project funding </w:t>
      </w:r>
      <w:r w:rsidR="00570B76" w:rsidRPr="003E74C0">
        <w:rPr>
          <w:rFonts w:asciiTheme="minorHAnsi" w:hAnsiTheme="minorHAnsi" w:cstheme="minorHAnsi"/>
          <w:sz w:val="24"/>
          <w:szCs w:val="24"/>
        </w:rPr>
        <w:t>caps</w:t>
      </w:r>
      <w:r w:rsidR="00114A44" w:rsidRPr="003E74C0">
        <w:rPr>
          <w:rFonts w:asciiTheme="minorHAnsi" w:hAnsiTheme="minorHAnsi" w:cstheme="minorHAnsi"/>
          <w:sz w:val="24"/>
          <w:szCs w:val="24"/>
        </w:rPr>
        <w:t xml:space="preserve"> have been met</w:t>
      </w:r>
      <w:r w:rsidRPr="003E74C0">
        <w:rPr>
          <w:rFonts w:asciiTheme="minorHAnsi" w:hAnsiTheme="minorHAnsi" w:cstheme="minorHAnsi"/>
          <w:sz w:val="24"/>
          <w:szCs w:val="24"/>
        </w:rPr>
        <w:t xml:space="preserve">, </w:t>
      </w:r>
      <w:r w:rsidR="00114A44" w:rsidRPr="003E74C0">
        <w:rPr>
          <w:rFonts w:asciiTheme="minorHAnsi" w:hAnsiTheme="minorHAnsi" w:cstheme="minorHAnsi"/>
          <w:sz w:val="24"/>
          <w:szCs w:val="24"/>
        </w:rPr>
        <w:t xml:space="preserve">additional rebate funding will be denied. </w:t>
      </w:r>
      <w:r w:rsidRPr="003E74C0">
        <w:rPr>
          <w:rFonts w:asciiTheme="minorHAnsi" w:hAnsiTheme="minorHAnsi" w:cstheme="minorHAnsi"/>
          <w:sz w:val="24"/>
          <w:szCs w:val="24"/>
        </w:rPr>
        <w:t xml:space="preserve">If the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xml:space="preserve"> amount is </w:t>
      </w:r>
      <w:r w:rsidR="00576E45" w:rsidRPr="003E74C0">
        <w:rPr>
          <w:rFonts w:asciiTheme="minorHAnsi" w:hAnsiTheme="minorHAnsi" w:cstheme="minorHAnsi"/>
          <w:sz w:val="24"/>
          <w:szCs w:val="24"/>
        </w:rPr>
        <w:t>lower than</w:t>
      </w:r>
      <w:r w:rsidRPr="003E74C0">
        <w:rPr>
          <w:rFonts w:asciiTheme="minorHAnsi" w:hAnsiTheme="minorHAnsi" w:cstheme="minorHAnsi"/>
          <w:sz w:val="24"/>
          <w:szCs w:val="24"/>
        </w:rPr>
        <w:t xml:space="preserve"> the reserved funding, the approved project will be paid at the lower amount. </w:t>
      </w:r>
    </w:p>
    <w:p w14:paraId="1AE18B89" w14:textId="77777777" w:rsidR="0056447B" w:rsidRPr="003E74C0" w:rsidRDefault="0056447B" w:rsidP="0056447B">
      <w:pPr>
        <w:jc w:val="left"/>
        <w:rPr>
          <w:rFonts w:asciiTheme="minorHAnsi" w:hAnsiTheme="minorHAnsi" w:cstheme="minorHAnsi"/>
          <w:sz w:val="24"/>
          <w:szCs w:val="24"/>
        </w:rPr>
      </w:pPr>
    </w:p>
    <w:p w14:paraId="59B2C509" w14:textId="77777777" w:rsidR="0056447B" w:rsidRPr="003E74C0" w:rsidRDefault="0056447B" w:rsidP="0056447B">
      <w:pPr>
        <w:jc w:val="left"/>
        <w:rPr>
          <w:rFonts w:asciiTheme="minorHAnsi" w:hAnsiTheme="minorHAnsi" w:cstheme="minorHAnsi"/>
          <w:color w:val="FF0000"/>
          <w:sz w:val="24"/>
          <w:szCs w:val="24"/>
        </w:rPr>
      </w:pPr>
      <w:r w:rsidRPr="003E74C0">
        <w:rPr>
          <w:rFonts w:asciiTheme="minorHAnsi" w:hAnsiTheme="minorHAnsi" w:cstheme="minorHAnsi"/>
          <w:sz w:val="24"/>
          <w:szCs w:val="24"/>
        </w:rPr>
        <w:t>If there are discrepancies between the </w:t>
      </w:r>
      <w:r w:rsidR="00D54A2E" w:rsidRPr="003E74C0">
        <w:rPr>
          <w:rFonts w:asciiTheme="minorHAnsi" w:hAnsiTheme="minorHAnsi" w:cstheme="minorHAnsi"/>
          <w:sz w:val="24"/>
          <w:szCs w:val="24"/>
        </w:rPr>
        <w:t>Final Application</w:t>
      </w:r>
      <w:r w:rsidRPr="003E74C0">
        <w:rPr>
          <w:rFonts w:asciiTheme="minorHAnsi" w:hAnsiTheme="minorHAnsi" w:cstheme="minorHAnsi"/>
          <w:sz w:val="24"/>
          <w:szCs w:val="24"/>
        </w:rPr>
        <w:t xml:space="preserve"> and the </w:t>
      </w:r>
      <w:r w:rsidR="008B1E53"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 </w:t>
      </w:r>
      <w:r w:rsidR="007D1CF4" w:rsidRPr="003E74C0">
        <w:rPr>
          <w:rFonts w:asciiTheme="minorHAnsi" w:hAnsiTheme="minorHAnsi" w:cstheme="minorHAnsi"/>
          <w:sz w:val="24"/>
          <w:szCs w:val="24"/>
        </w:rPr>
        <w:t>t</w:t>
      </w:r>
      <w:r w:rsidRPr="003E74C0">
        <w:rPr>
          <w:rFonts w:asciiTheme="minorHAnsi" w:hAnsiTheme="minorHAnsi" w:cstheme="minorHAnsi"/>
          <w:sz w:val="24"/>
          <w:szCs w:val="24"/>
        </w:rPr>
        <w:t>eam inspection verification and/or analysis of the submitted measures that leads to a greater than 10</w:t>
      </w:r>
      <w:r w:rsidR="006405FD">
        <w:rPr>
          <w:rFonts w:asciiTheme="minorHAnsi" w:hAnsiTheme="minorHAnsi" w:cstheme="minorHAnsi"/>
          <w:sz w:val="24"/>
          <w:szCs w:val="24"/>
        </w:rPr>
        <w:t xml:space="preserve">% </w:t>
      </w:r>
      <w:r w:rsidRPr="003E74C0">
        <w:rPr>
          <w:rFonts w:asciiTheme="minorHAnsi" w:hAnsiTheme="minorHAnsi" w:cstheme="minorHAnsi"/>
          <w:sz w:val="24"/>
          <w:szCs w:val="24"/>
        </w:rPr>
        <w:t xml:space="preserve">reduction in incentive, the customer will receive </w:t>
      </w:r>
      <w:r w:rsidR="00576E45" w:rsidRPr="003E74C0">
        <w:rPr>
          <w:rFonts w:asciiTheme="minorHAnsi" w:hAnsiTheme="minorHAnsi" w:cstheme="minorHAnsi"/>
          <w:sz w:val="24"/>
          <w:szCs w:val="24"/>
        </w:rPr>
        <w:t>an email</w:t>
      </w:r>
      <w:r w:rsidRPr="003E74C0">
        <w:rPr>
          <w:rFonts w:asciiTheme="minorHAnsi" w:hAnsiTheme="minorHAnsi" w:cstheme="minorHAnsi"/>
          <w:sz w:val="24"/>
          <w:szCs w:val="24"/>
        </w:rPr>
        <w:t xml:space="preserve"> from the engineering staff detailing these differences. </w:t>
      </w:r>
      <w:r w:rsidR="00576E45" w:rsidRPr="003E74C0">
        <w:rPr>
          <w:rFonts w:asciiTheme="minorHAnsi" w:hAnsiTheme="minorHAnsi" w:cstheme="minorHAnsi"/>
          <w:sz w:val="24"/>
          <w:szCs w:val="24"/>
        </w:rPr>
        <w:t>The</w:t>
      </w:r>
      <w:r w:rsidRPr="003E74C0">
        <w:rPr>
          <w:rFonts w:asciiTheme="minorHAnsi" w:hAnsiTheme="minorHAnsi" w:cstheme="minorHAnsi"/>
          <w:sz w:val="24"/>
          <w:szCs w:val="24"/>
        </w:rPr>
        <w:t xml:space="preserve"> customer (or contractor) </w:t>
      </w:r>
      <w:r w:rsidR="00576E45" w:rsidRPr="003E74C0">
        <w:rPr>
          <w:rFonts w:asciiTheme="minorHAnsi" w:hAnsiTheme="minorHAnsi" w:cstheme="minorHAnsi"/>
          <w:sz w:val="24"/>
          <w:szCs w:val="24"/>
        </w:rPr>
        <w:t xml:space="preserve">may submit a </w:t>
      </w:r>
      <w:r w:rsidRPr="003E74C0">
        <w:rPr>
          <w:rFonts w:asciiTheme="minorHAnsi" w:hAnsiTheme="minorHAnsi" w:cstheme="minorHAnsi"/>
          <w:sz w:val="24"/>
          <w:szCs w:val="24"/>
        </w:rPr>
        <w:t xml:space="preserve">dispute </w:t>
      </w:r>
      <w:r w:rsidR="00576E45" w:rsidRPr="003E74C0">
        <w:rPr>
          <w:rFonts w:asciiTheme="minorHAnsi" w:hAnsiTheme="minorHAnsi" w:cstheme="minorHAnsi"/>
          <w:sz w:val="24"/>
          <w:szCs w:val="24"/>
        </w:rPr>
        <w:t xml:space="preserve">of </w:t>
      </w:r>
      <w:r w:rsidRPr="003E74C0">
        <w:rPr>
          <w:rFonts w:asciiTheme="minorHAnsi" w:hAnsiTheme="minorHAnsi" w:cstheme="minorHAnsi"/>
          <w:sz w:val="24"/>
          <w:szCs w:val="24"/>
        </w:rPr>
        <w:t xml:space="preserve">the inspection results or analysis </w:t>
      </w:r>
      <w:r w:rsidR="00576E45" w:rsidRPr="003E74C0">
        <w:rPr>
          <w:rFonts w:asciiTheme="minorHAnsi" w:hAnsiTheme="minorHAnsi" w:cstheme="minorHAnsi"/>
          <w:sz w:val="24"/>
          <w:szCs w:val="24"/>
        </w:rPr>
        <w:t xml:space="preserve">within 10 business days. </w:t>
      </w:r>
      <w:r w:rsidR="00947DC6" w:rsidRPr="003E74C0">
        <w:rPr>
          <w:rFonts w:asciiTheme="minorHAnsi" w:hAnsiTheme="minorHAnsi" w:cstheme="minorHAnsi"/>
          <w:sz w:val="24"/>
          <w:szCs w:val="24"/>
        </w:rPr>
        <w:t>T</w:t>
      </w:r>
      <w:r w:rsidRPr="003E74C0">
        <w:rPr>
          <w:rFonts w:asciiTheme="minorHAnsi" w:hAnsiTheme="minorHAnsi" w:cstheme="minorHAnsi"/>
          <w:sz w:val="24"/>
          <w:szCs w:val="24"/>
        </w:rPr>
        <w:t xml:space="preserve">he Commercial Energy Solutions </w:t>
      </w:r>
      <w:r w:rsidR="007D1CF4" w:rsidRPr="003E74C0">
        <w:rPr>
          <w:rFonts w:asciiTheme="minorHAnsi" w:hAnsiTheme="minorHAnsi" w:cstheme="minorHAnsi"/>
          <w:sz w:val="24"/>
          <w:szCs w:val="24"/>
        </w:rPr>
        <w:t>t</w:t>
      </w:r>
      <w:r w:rsidRPr="003E74C0">
        <w:rPr>
          <w:rFonts w:asciiTheme="minorHAnsi" w:hAnsiTheme="minorHAnsi" w:cstheme="minorHAnsi"/>
          <w:sz w:val="24"/>
          <w:szCs w:val="24"/>
        </w:rPr>
        <w:t xml:space="preserve">eam shall </w:t>
      </w:r>
      <w:r w:rsidR="00576E45" w:rsidRPr="003E74C0">
        <w:rPr>
          <w:rFonts w:asciiTheme="minorHAnsi" w:hAnsiTheme="minorHAnsi" w:cstheme="minorHAnsi"/>
          <w:sz w:val="24"/>
          <w:szCs w:val="24"/>
        </w:rPr>
        <w:t xml:space="preserve">review the dispute and make a good faith attempt to resolve the issue. </w:t>
      </w:r>
      <w:r w:rsidRPr="003E74C0">
        <w:rPr>
          <w:rFonts w:asciiTheme="minorHAnsi" w:hAnsiTheme="minorHAnsi" w:cstheme="minorHAnsi"/>
          <w:sz w:val="24"/>
          <w:szCs w:val="24"/>
        </w:rPr>
        <w:t xml:space="preserve">If the </w:t>
      </w:r>
      <w:r w:rsidR="008B1E53"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 </w:t>
      </w:r>
      <w:r w:rsidR="007D1CF4" w:rsidRPr="003E74C0">
        <w:rPr>
          <w:rFonts w:asciiTheme="minorHAnsi" w:hAnsiTheme="minorHAnsi" w:cstheme="minorHAnsi"/>
          <w:sz w:val="24"/>
          <w:szCs w:val="24"/>
        </w:rPr>
        <w:t>t</w:t>
      </w:r>
      <w:r w:rsidR="00576E45" w:rsidRPr="003E74C0">
        <w:rPr>
          <w:rFonts w:asciiTheme="minorHAnsi" w:hAnsiTheme="minorHAnsi" w:cstheme="minorHAnsi"/>
          <w:sz w:val="24"/>
          <w:szCs w:val="24"/>
        </w:rPr>
        <w:t xml:space="preserve">eam does not receive </w:t>
      </w:r>
      <w:r w:rsidR="00570B76" w:rsidRPr="003E74C0">
        <w:rPr>
          <w:rFonts w:asciiTheme="minorHAnsi" w:hAnsiTheme="minorHAnsi" w:cstheme="minorHAnsi"/>
          <w:sz w:val="24"/>
          <w:szCs w:val="24"/>
        </w:rPr>
        <w:t>notice of a</w:t>
      </w:r>
      <w:r w:rsidRPr="003E74C0">
        <w:rPr>
          <w:rFonts w:asciiTheme="minorHAnsi" w:hAnsiTheme="minorHAnsi" w:cstheme="minorHAnsi"/>
          <w:sz w:val="24"/>
          <w:szCs w:val="24"/>
        </w:rPr>
        <w:t xml:space="preserve"> dispute or the customer and/or contractor agree with the inspection results or analysis, the revised rebate levels will be deemed final and </w:t>
      </w:r>
      <w:r w:rsidR="00576E45" w:rsidRPr="003E74C0">
        <w:rPr>
          <w:rFonts w:asciiTheme="minorHAnsi" w:hAnsiTheme="minorHAnsi" w:cstheme="minorHAnsi"/>
          <w:sz w:val="24"/>
          <w:szCs w:val="24"/>
        </w:rPr>
        <w:t>the rebate issued</w:t>
      </w:r>
      <w:r w:rsidRPr="003E74C0">
        <w:rPr>
          <w:rFonts w:asciiTheme="minorHAnsi" w:hAnsiTheme="minorHAnsi" w:cstheme="minorHAnsi"/>
          <w:sz w:val="24"/>
          <w:szCs w:val="24"/>
        </w:rPr>
        <w:t xml:space="preserve">. </w:t>
      </w:r>
    </w:p>
    <w:p w14:paraId="3A3DC1F0" w14:textId="77777777" w:rsidR="0056447B" w:rsidRPr="003E74C0" w:rsidRDefault="0056447B" w:rsidP="0056447B">
      <w:pPr>
        <w:jc w:val="left"/>
        <w:rPr>
          <w:rFonts w:asciiTheme="minorHAnsi" w:hAnsiTheme="minorHAnsi" w:cstheme="minorHAnsi"/>
          <w:sz w:val="24"/>
          <w:szCs w:val="24"/>
        </w:rPr>
      </w:pPr>
    </w:p>
    <w:p w14:paraId="6E45DB97" w14:textId="77777777" w:rsidR="0013294F" w:rsidRDefault="0013294F" w:rsidP="0056447B">
      <w:pPr>
        <w:pStyle w:val="Heading1"/>
        <w:numPr>
          <w:ilvl w:val="0"/>
          <w:numId w:val="3"/>
        </w:numPr>
        <w:spacing w:before="120" w:after="120"/>
        <w:jc w:val="left"/>
        <w:rPr>
          <w:rFonts w:asciiTheme="minorHAnsi" w:hAnsiTheme="minorHAnsi" w:cstheme="minorHAnsi"/>
        </w:rPr>
      </w:pPr>
      <w:bookmarkStart w:id="30" w:name="_Toc511996625"/>
      <w:bookmarkStart w:id="31" w:name="_Toc511029309"/>
      <w:r>
        <w:rPr>
          <w:rFonts w:asciiTheme="minorHAnsi" w:hAnsiTheme="minorHAnsi" w:cstheme="minorHAnsi"/>
        </w:rPr>
        <w:lastRenderedPageBreak/>
        <w:t>Cancellation</w:t>
      </w:r>
      <w:bookmarkEnd w:id="30"/>
    </w:p>
    <w:p w14:paraId="09063408" w14:textId="77777777" w:rsidR="0013294F" w:rsidRPr="003E74C0" w:rsidRDefault="0013294F" w:rsidP="0013294F">
      <w:pPr>
        <w:pStyle w:val="ParaText"/>
        <w:spacing w:after="0" w:line="240" w:lineRule="auto"/>
        <w:rPr>
          <w:rFonts w:asciiTheme="minorHAnsi" w:hAnsiTheme="minorHAnsi" w:cstheme="minorHAnsi"/>
          <w:sz w:val="24"/>
          <w:szCs w:val="24"/>
        </w:rPr>
      </w:pPr>
      <w:r w:rsidRPr="003E74C0">
        <w:rPr>
          <w:rFonts w:asciiTheme="minorHAnsi" w:hAnsiTheme="minorHAnsi" w:cstheme="minorHAnsi"/>
          <w:sz w:val="24"/>
          <w:szCs w:val="24"/>
        </w:rPr>
        <w:t xml:space="preserve">An application can be cancelled at any point in the process and are considered final. Funds will not be paid for the project until the team receives a completed application package. The Commercial Energy Solutions team will notify the applicant of any missing information. If requests go unanswered within 10 business days, the application will be cancelled. If the applicant submits all required documentation later, it will be treated as a new application. There is </w:t>
      </w:r>
      <w:r w:rsidRPr="003E74C0">
        <w:rPr>
          <w:rFonts w:asciiTheme="minorHAnsi" w:hAnsiTheme="minorHAnsi" w:cstheme="minorHAnsi"/>
          <w:b/>
          <w:sz w:val="24"/>
          <w:szCs w:val="24"/>
        </w:rPr>
        <w:t>NO GUARANTEE</w:t>
      </w:r>
      <w:r w:rsidRPr="003E74C0">
        <w:rPr>
          <w:rFonts w:asciiTheme="minorHAnsi" w:hAnsiTheme="minorHAnsi" w:cstheme="minorHAnsi"/>
          <w:sz w:val="24"/>
          <w:szCs w:val="24"/>
        </w:rPr>
        <w:t xml:space="preserve"> that incentives will be available upon submission of a new application.</w:t>
      </w:r>
    </w:p>
    <w:p w14:paraId="4E06DA44"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32" w:name="_Toc511996626"/>
      <w:r w:rsidRPr="00CA2715">
        <w:rPr>
          <w:rFonts w:asciiTheme="minorHAnsi" w:hAnsiTheme="minorHAnsi" w:cstheme="minorHAnsi"/>
        </w:rPr>
        <w:t>Customer Satisfaction</w:t>
      </w:r>
      <w:bookmarkEnd w:id="31"/>
      <w:bookmarkEnd w:id="32"/>
    </w:p>
    <w:p w14:paraId="77F047DA" w14:textId="77777777" w:rsidR="0056447B" w:rsidRPr="003E74C0" w:rsidRDefault="0056447B" w:rsidP="0056447B">
      <w:pPr>
        <w:jc w:val="left"/>
        <w:rPr>
          <w:rFonts w:asciiTheme="minorHAnsi" w:hAnsiTheme="minorHAnsi" w:cstheme="minorHAnsi"/>
          <w:sz w:val="24"/>
          <w:szCs w:val="24"/>
        </w:rPr>
      </w:pPr>
      <w:r w:rsidRPr="003E74C0">
        <w:rPr>
          <w:rFonts w:asciiTheme="minorHAnsi" w:hAnsiTheme="minorHAnsi" w:cstheme="minorHAnsi"/>
          <w:sz w:val="24"/>
          <w:szCs w:val="24"/>
        </w:rPr>
        <w:t xml:space="preserve">The </w:t>
      </w:r>
      <w:r w:rsidR="0013294F"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 </w:t>
      </w:r>
      <w:r w:rsidR="007D1CF4" w:rsidRPr="003E74C0">
        <w:rPr>
          <w:rFonts w:asciiTheme="minorHAnsi" w:hAnsiTheme="minorHAnsi" w:cstheme="minorHAnsi"/>
          <w:sz w:val="24"/>
          <w:szCs w:val="24"/>
        </w:rPr>
        <w:t>t</w:t>
      </w:r>
      <w:r w:rsidRPr="003E74C0">
        <w:rPr>
          <w:rFonts w:asciiTheme="minorHAnsi" w:hAnsiTheme="minorHAnsi" w:cstheme="minorHAnsi"/>
          <w:sz w:val="24"/>
          <w:szCs w:val="24"/>
        </w:rPr>
        <w:t xml:space="preserve">eam will take every possible step to ensure a high level of satisfaction with all aspects of the program. However, if any problems or concerns should arise, we encourage you to contact the </w:t>
      </w:r>
      <w:r w:rsidR="0013294F" w:rsidRPr="003E74C0">
        <w:rPr>
          <w:rFonts w:asciiTheme="minorHAnsi" w:hAnsiTheme="minorHAnsi" w:cstheme="minorHAnsi"/>
          <w:sz w:val="24"/>
          <w:szCs w:val="24"/>
        </w:rPr>
        <w:t>UES</w:t>
      </w:r>
      <w:r w:rsidRPr="003E74C0">
        <w:rPr>
          <w:rFonts w:asciiTheme="minorHAnsi" w:hAnsiTheme="minorHAnsi" w:cstheme="minorHAnsi"/>
          <w:sz w:val="24"/>
          <w:szCs w:val="24"/>
        </w:rPr>
        <w:t xml:space="preserve"> Commercial Energy Solutions </w:t>
      </w:r>
      <w:r w:rsidR="007D1CF4" w:rsidRPr="003E74C0">
        <w:rPr>
          <w:rFonts w:asciiTheme="minorHAnsi" w:hAnsiTheme="minorHAnsi" w:cstheme="minorHAnsi"/>
          <w:sz w:val="24"/>
          <w:szCs w:val="24"/>
        </w:rPr>
        <w:t>t</w:t>
      </w:r>
      <w:r w:rsidRPr="003E74C0">
        <w:rPr>
          <w:rFonts w:asciiTheme="minorHAnsi" w:hAnsiTheme="minorHAnsi" w:cstheme="minorHAnsi"/>
          <w:sz w:val="24"/>
          <w:szCs w:val="24"/>
        </w:rPr>
        <w:t>eam immediately at 866-324-5506.</w:t>
      </w:r>
    </w:p>
    <w:p w14:paraId="58017EA3"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 </w:t>
      </w:r>
    </w:p>
    <w:p w14:paraId="4C642A93"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33" w:name="_Toc511029310"/>
      <w:bookmarkStart w:id="34" w:name="_Toc511996627"/>
      <w:r w:rsidRPr="00CA2715">
        <w:rPr>
          <w:rFonts w:asciiTheme="minorHAnsi" w:hAnsiTheme="minorHAnsi" w:cstheme="minorHAnsi"/>
        </w:rPr>
        <w:t>Billing Release</w:t>
      </w:r>
      <w:bookmarkEnd w:id="33"/>
      <w:bookmarkEnd w:id="34"/>
    </w:p>
    <w:p w14:paraId="39C230CE" w14:textId="77777777" w:rsidR="0056447B" w:rsidRPr="003E74C0" w:rsidRDefault="00576E45" w:rsidP="0056447B">
      <w:pPr>
        <w:jc w:val="left"/>
        <w:rPr>
          <w:rFonts w:asciiTheme="minorHAnsi" w:hAnsiTheme="minorHAnsi" w:cstheme="minorHAnsi"/>
          <w:sz w:val="24"/>
          <w:szCs w:val="24"/>
        </w:rPr>
      </w:pPr>
      <w:bookmarkStart w:id="35" w:name="OLE_LINK1"/>
      <w:r w:rsidRPr="003E74C0">
        <w:rPr>
          <w:rFonts w:asciiTheme="minorHAnsi" w:hAnsiTheme="minorHAnsi" w:cstheme="minorHAnsi"/>
          <w:sz w:val="24"/>
          <w:szCs w:val="24"/>
        </w:rPr>
        <w:t>A</w:t>
      </w:r>
      <w:r w:rsidR="0056447B" w:rsidRPr="003E74C0">
        <w:rPr>
          <w:rFonts w:asciiTheme="minorHAnsi" w:hAnsiTheme="minorHAnsi" w:cstheme="minorHAnsi"/>
          <w:sz w:val="24"/>
          <w:szCs w:val="24"/>
        </w:rPr>
        <w:t xml:space="preserve">ll customer information </w:t>
      </w:r>
      <w:r w:rsidRPr="003E74C0">
        <w:rPr>
          <w:rFonts w:asciiTheme="minorHAnsi" w:hAnsiTheme="minorHAnsi" w:cstheme="minorHAnsi"/>
          <w:sz w:val="24"/>
          <w:szCs w:val="24"/>
        </w:rPr>
        <w:t xml:space="preserve">is kept confidential </w:t>
      </w:r>
      <w:r w:rsidR="0056447B" w:rsidRPr="003E74C0">
        <w:rPr>
          <w:rFonts w:asciiTheme="minorHAnsi" w:hAnsiTheme="minorHAnsi" w:cstheme="minorHAnsi"/>
          <w:sz w:val="24"/>
          <w:szCs w:val="24"/>
        </w:rPr>
        <w:t xml:space="preserve">unless </w:t>
      </w:r>
      <w:r w:rsidR="0013294F" w:rsidRPr="003E74C0">
        <w:rPr>
          <w:rFonts w:asciiTheme="minorHAnsi" w:hAnsiTheme="minorHAnsi" w:cstheme="minorHAnsi"/>
          <w:sz w:val="24"/>
          <w:szCs w:val="24"/>
        </w:rPr>
        <w:t>UES</w:t>
      </w:r>
      <w:r w:rsidR="00F8239E" w:rsidRPr="003E74C0">
        <w:rPr>
          <w:rFonts w:asciiTheme="minorHAnsi" w:hAnsiTheme="minorHAnsi" w:cstheme="minorHAnsi"/>
          <w:sz w:val="24"/>
          <w:szCs w:val="24"/>
        </w:rPr>
        <w:t xml:space="preserve"> receives</w:t>
      </w:r>
      <w:r w:rsidR="00E111EE" w:rsidRPr="003E74C0">
        <w:rPr>
          <w:rFonts w:asciiTheme="minorHAnsi" w:hAnsiTheme="minorHAnsi" w:cstheme="minorHAnsi"/>
          <w:sz w:val="24"/>
          <w:szCs w:val="24"/>
        </w:rPr>
        <w:t xml:space="preserve"> a</w:t>
      </w:r>
      <w:r w:rsidR="00F8239E" w:rsidRPr="003E74C0">
        <w:rPr>
          <w:rFonts w:asciiTheme="minorHAnsi" w:hAnsiTheme="minorHAnsi" w:cstheme="minorHAnsi"/>
          <w:sz w:val="24"/>
          <w:szCs w:val="24"/>
        </w:rPr>
        <w:t xml:space="preserve"> written</w:t>
      </w:r>
      <w:r w:rsidR="00682895" w:rsidRPr="003E74C0">
        <w:rPr>
          <w:rFonts w:asciiTheme="minorHAnsi" w:hAnsiTheme="minorHAnsi" w:cstheme="minorHAnsi"/>
          <w:sz w:val="24"/>
          <w:szCs w:val="24"/>
        </w:rPr>
        <w:t xml:space="preserve"> L</w:t>
      </w:r>
      <w:r w:rsidR="00E111EE" w:rsidRPr="003E74C0">
        <w:rPr>
          <w:rFonts w:asciiTheme="minorHAnsi" w:hAnsiTheme="minorHAnsi" w:cstheme="minorHAnsi"/>
          <w:sz w:val="24"/>
          <w:szCs w:val="24"/>
        </w:rPr>
        <w:t>etter of</w:t>
      </w:r>
      <w:r w:rsidR="00F8239E" w:rsidRPr="003E74C0">
        <w:rPr>
          <w:rFonts w:asciiTheme="minorHAnsi" w:hAnsiTheme="minorHAnsi" w:cstheme="minorHAnsi"/>
          <w:sz w:val="24"/>
          <w:szCs w:val="24"/>
        </w:rPr>
        <w:t xml:space="preserve"> </w:t>
      </w:r>
      <w:r w:rsidR="00682895" w:rsidRPr="003E74C0">
        <w:rPr>
          <w:rFonts w:asciiTheme="minorHAnsi" w:hAnsiTheme="minorHAnsi" w:cstheme="minorHAnsi"/>
          <w:sz w:val="24"/>
          <w:szCs w:val="24"/>
        </w:rPr>
        <w:t>A</w:t>
      </w:r>
      <w:r w:rsidR="00F8239E" w:rsidRPr="003E74C0">
        <w:rPr>
          <w:rFonts w:asciiTheme="minorHAnsi" w:hAnsiTheme="minorHAnsi" w:cstheme="minorHAnsi"/>
          <w:sz w:val="24"/>
          <w:szCs w:val="24"/>
        </w:rPr>
        <w:t>uthorization</w:t>
      </w:r>
      <w:r w:rsidR="00E111EE" w:rsidRPr="003E74C0">
        <w:rPr>
          <w:rFonts w:asciiTheme="minorHAnsi" w:hAnsiTheme="minorHAnsi" w:cstheme="minorHAnsi"/>
          <w:sz w:val="24"/>
          <w:szCs w:val="24"/>
        </w:rPr>
        <w:t xml:space="preserve"> (LoA)</w:t>
      </w:r>
      <w:r w:rsidR="00F8239E" w:rsidRPr="003E74C0">
        <w:rPr>
          <w:rFonts w:asciiTheme="minorHAnsi" w:hAnsiTheme="minorHAnsi" w:cstheme="minorHAnsi"/>
          <w:sz w:val="24"/>
          <w:szCs w:val="24"/>
        </w:rPr>
        <w:t xml:space="preserve"> from the customer to release or share their information, billing data and project details with a third-party.</w:t>
      </w:r>
      <w:r w:rsidRPr="003E74C0">
        <w:rPr>
          <w:rFonts w:asciiTheme="minorHAnsi" w:hAnsiTheme="minorHAnsi" w:cstheme="minorHAnsi"/>
          <w:sz w:val="24"/>
          <w:szCs w:val="24"/>
        </w:rPr>
        <w:t xml:space="preserve"> </w:t>
      </w:r>
      <w:r w:rsidR="0056447B" w:rsidRPr="003E74C0">
        <w:rPr>
          <w:rFonts w:asciiTheme="minorHAnsi" w:hAnsiTheme="minorHAnsi" w:cstheme="minorHAnsi"/>
          <w:sz w:val="24"/>
          <w:szCs w:val="24"/>
        </w:rPr>
        <w:t xml:space="preserve">The </w:t>
      </w:r>
      <w:r w:rsidR="00F8239E" w:rsidRPr="003E74C0">
        <w:rPr>
          <w:rFonts w:asciiTheme="minorHAnsi" w:hAnsiTheme="minorHAnsi" w:cstheme="minorHAnsi"/>
          <w:sz w:val="24"/>
          <w:szCs w:val="24"/>
        </w:rPr>
        <w:t>following information must be included in</w:t>
      </w:r>
      <w:r w:rsidR="0056447B" w:rsidRPr="003E74C0">
        <w:rPr>
          <w:rFonts w:asciiTheme="minorHAnsi" w:hAnsiTheme="minorHAnsi" w:cstheme="minorHAnsi"/>
          <w:sz w:val="24"/>
          <w:szCs w:val="24"/>
        </w:rPr>
        <w:t xml:space="preserve"> the </w:t>
      </w:r>
      <w:r w:rsidR="00840B5A" w:rsidRPr="003E74C0">
        <w:rPr>
          <w:rFonts w:asciiTheme="minorHAnsi" w:hAnsiTheme="minorHAnsi" w:cstheme="minorHAnsi"/>
          <w:sz w:val="24"/>
          <w:szCs w:val="24"/>
        </w:rPr>
        <w:t>L</w:t>
      </w:r>
      <w:r w:rsidR="0013294F" w:rsidRPr="003E74C0">
        <w:rPr>
          <w:rFonts w:asciiTheme="minorHAnsi" w:hAnsiTheme="minorHAnsi" w:cstheme="minorHAnsi"/>
          <w:sz w:val="24"/>
          <w:szCs w:val="24"/>
        </w:rPr>
        <w:t>oA</w:t>
      </w:r>
      <w:r w:rsidR="0056447B" w:rsidRPr="003E74C0">
        <w:rPr>
          <w:rFonts w:asciiTheme="minorHAnsi" w:hAnsiTheme="minorHAnsi" w:cstheme="minorHAnsi"/>
          <w:sz w:val="24"/>
          <w:szCs w:val="24"/>
        </w:rPr>
        <w:t>:</w:t>
      </w:r>
    </w:p>
    <w:p w14:paraId="69D71BC9" w14:textId="77777777" w:rsidR="0056447B" w:rsidRPr="003E74C0" w:rsidRDefault="0056447B" w:rsidP="0056447B">
      <w:pPr>
        <w:spacing w:line="290" w:lineRule="atLeast"/>
        <w:jc w:val="left"/>
        <w:rPr>
          <w:rFonts w:asciiTheme="minorHAnsi" w:hAnsiTheme="minorHAnsi" w:cstheme="minorHAnsi"/>
          <w:sz w:val="24"/>
          <w:szCs w:val="24"/>
        </w:rPr>
      </w:pPr>
    </w:p>
    <w:p w14:paraId="7C51DCC3"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Customer name of record for each customer account</w:t>
      </w:r>
    </w:p>
    <w:p w14:paraId="6B8F1082"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Customer premise number for each property to be released</w:t>
      </w:r>
    </w:p>
    <w:p w14:paraId="6A794C2D"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Contact name for each customer account</w:t>
      </w:r>
    </w:p>
    <w:p w14:paraId="4A6C4B6A"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Contact information for each customer account (include: phone number and email address)</w:t>
      </w:r>
    </w:p>
    <w:p w14:paraId="3795FF05"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Address for each account number</w:t>
      </w:r>
    </w:p>
    <w:p w14:paraId="106530AC"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Signature of customer of record</w:t>
      </w:r>
    </w:p>
    <w:p w14:paraId="1508DF66" w14:textId="77777777" w:rsidR="0056447B" w:rsidRPr="003E74C0" w:rsidRDefault="0056447B" w:rsidP="0056447B">
      <w:pPr>
        <w:numPr>
          <w:ilvl w:val="0"/>
          <w:numId w:val="21"/>
        </w:numPr>
        <w:spacing w:line="290" w:lineRule="atLeast"/>
        <w:jc w:val="left"/>
        <w:rPr>
          <w:rFonts w:asciiTheme="minorHAnsi" w:hAnsiTheme="minorHAnsi" w:cstheme="minorHAnsi"/>
          <w:sz w:val="24"/>
          <w:szCs w:val="24"/>
        </w:rPr>
      </w:pPr>
      <w:r w:rsidRPr="003E74C0">
        <w:rPr>
          <w:rFonts w:asciiTheme="minorHAnsi" w:hAnsiTheme="minorHAnsi" w:cstheme="minorHAnsi"/>
          <w:sz w:val="24"/>
          <w:szCs w:val="24"/>
        </w:rPr>
        <w:t>Identification of third party to receive the information (company name, title of person and address)</w:t>
      </w:r>
    </w:p>
    <w:p w14:paraId="106F0647" w14:textId="77777777" w:rsidR="0056447B" w:rsidRPr="00CA2715" w:rsidRDefault="0056447B" w:rsidP="0056447B">
      <w:pPr>
        <w:spacing w:line="290" w:lineRule="atLeast"/>
        <w:ind w:left="1440"/>
        <w:jc w:val="left"/>
        <w:rPr>
          <w:rFonts w:asciiTheme="minorHAnsi" w:hAnsiTheme="minorHAnsi" w:cstheme="minorHAnsi"/>
        </w:rPr>
      </w:pPr>
    </w:p>
    <w:p w14:paraId="0E508A71" w14:textId="77777777" w:rsidR="0056447B" w:rsidRPr="00CA2715" w:rsidRDefault="0056447B" w:rsidP="0056447B">
      <w:pPr>
        <w:pStyle w:val="Heading1"/>
        <w:numPr>
          <w:ilvl w:val="0"/>
          <w:numId w:val="3"/>
        </w:numPr>
        <w:spacing w:before="120" w:after="120"/>
        <w:rPr>
          <w:rFonts w:asciiTheme="minorHAnsi" w:hAnsiTheme="minorHAnsi" w:cstheme="minorHAnsi"/>
        </w:rPr>
      </w:pPr>
      <w:bookmarkStart w:id="36" w:name="_Toc511029311"/>
      <w:bookmarkStart w:id="37" w:name="_Toc511996628"/>
      <w:bookmarkEnd w:id="35"/>
      <w:r w:rsidRPr="00CA2715">
        <w:rPr>
          <w:rFonts w:asciiTheme="minorHAnsi" w:hAnsiTheme="minorHAnsi" w:cstheme="minorHAnsi"/>
        </w:rPr>
        <w:t>Definitions</w:t>
      </w:r>
      <w:bookmarkEnd w:id="36"/>
      <w:bookmarkEnd w:id="37"/>
    </w:p>
    <w:p w14:paraId="42DBD0D1" w14:textId="77777777" w:rsidR="0016414F" w:rsidRPr="003E74C0" w:rsidRDefault="0016414F" w:rsidP="0016414F">
      <w:pPr>
        <w:pStyle w:val="CM17"/>
        <w:spacing w:after="240" w:line="253" w:lineRule="atLeast"/>
        <w:rPr>
          <w:rFonts w:asciiTheme="minorHAnsi" w:hAnsiTheme="minorHAnsi" w:cstheme="minorHAnsi"/>
          <w:color w:val="000000"/>
        </w:rPr>
      </w:pPr>
      <w:r w:rsidRPr="003E74C0">
        <w:rPr>
          <w:rFonts w:asciiTheme="minorHAnsi" w:hAnsiTheme="minorHAnsi" w:cstheme="minorHAnsi"/>
          <w:b/>
          <w:bCs/>
        </w:rPr>
        <w:t>AFUE: Annual Fuel Utilization Efficiency</w:t>
      </w:r>
      <w:r w:rsidRPr="003E74C0">
        <w:rPr>
          <w:rFonts w:asciiTheme="minorHAnsi" w:hAnsiTheme="minorHAnsi" w:cstheme="minorHAnsi"/>
        </w:rPr>
        <w:t xml:space="preserve"> is a thermal efficiency measure of combustion equipment like furnaces, boilers and water heaters. The AFUE differs from the true 'thermal efficiency' in that it is not a steady-state, peak measure of conversion efficiency, but instead attempts to represent the actual, season-long, average efficiency of that piece of equipment.  The website </w:t>
      </w:r>
      <w:r w:rsidRPr="003E74C0">
        <w:rPr>
          <w:rFonts w:asciiTheme="minorHAnsi" w:hAnsiTheme="minorHAnsi" w:cstheme="minorHAnsi"/>
          <w:color w:val="0000FF"/>
          <w:u w:val="single"/>
        </w:rPr>
        <w:t>www.ahridirectory.org</w:t>
      </w:r>
      <w:r w:rsidRPr="003E74C0">
        <w:rPr>
          <w:rFonts w:asciiTheme="minorHAnsi" w:hAnsiTheme="minorHAnsi" w:cstheme="minorHAnsi"/>
          <w:color w:val="000000"/>
        </w:rPr>
        <w:t xml:space="preserve"> posts efficiency ratings for furnaces, boilers and water heaters.  </w:t>
      </w:r>
    </w:p>
    <w:p w14:paraId="05E6AB82" w14:textId="77777777" w:rsidR="0056447B" w:rsidRPr="003E74C0" w:rsidRDefault="0056447B" w:rsidP="0056447B">
      <w:pPr>
        <w:jc w:val="left"/>
        <w:rPr>
          <w:rFonts w:asciiTheme="minorHAnsi" w:hAnsiTheme="minorHAnsi" w:cstheme="minorHAnsi"/>
          <w:bCs/>
          <w:sz w:val="24"/>
          <w:szCs w:val="24"/>
        </w:rPr>
      </w:pPr>
      <w:r w:rsidRPr="003E74C0">
        <w:rPr>
          <w:rFonts w:asciiTheme="minorHAnsi" w:hAnsiTheme="minorHAnsi" w:cstheme="minorHAnsi"/>
          <w:b/>
          <w:bCs/>
          <w:sz w:val="24"/>
          <w:szCs w:val="24"/>
        </w:rPr>
        <w:t xml:space="preserve">Applicant: </w:t>
      </w:r>
      <w:r w:rsidR="00F8239E" w:rsidRPr="003E74C0">
        <w:rPr>
          <w:rFonts w:asciiTheme="minorHAnsi" w:hAnsiTheme="minorHAnsi" w:cstheme="minorHAnsi"/>
          <w:bCs/>
          <w:sz w:val="24"/>
          <w:szCs w:val="24"/>
        </w:rPr>
        <w:t>E</w:t>
      </w:r>
      <w:r w:rsidRPr="003E74C0">
        <w:rPr>
          <w:rFonts w:asciiTheme="minorHAnsi" w:hAnsiTheme="minorHAnsi" w:cstheme="minorHAnsi"/>
          <w:bCs/>
          <w:sz w:val="24"/>
          <w:szCs w:val="24"/>
        </w:rPr>
        <w:t>ither the customer or the customer</w:t>
      </w:r>
      <w:r w:rsidR="00F8239E" w:rsidRPr="003E74C0">
        <w:rPr>
          <w:rFonts w:asciiTheme="minorHAnsi" w:hAnsiTheme="minorHAnsi" w:cstheme="minorHAnsi"/>
          <w:bCs/>
          <w:sz w:val="24"/>
          <w:szCs w:val="24"/>
        </w:rPr>
        <w:t xml:space="preserve">’s </w:t>
      </w:r>
      <w:r w:rsidRPr="003E74C0">
        <w:rPr>
          <w:rFonts w:asciiTheme="minorHAnsi" w:hAnsiTheme="minorHAnsi" w:cstheme="minorHAnsi"/>
          <w:bCs/>
          <w:sz w:val="24"/>
          <w:szCs w:val="24"/>
        </w:rPr>
        <w:t xml:space="preserve">representative </w:t>
      </w:r>
      <w:r w:rsidR="00F8239E" w:rsidRPr="003E74C0">
        <w:rPr>
          <w:rFonts w:asciiTheme="minorHAnsi" w:hAnsiTheme="minorHAnsi" w:cstheme="minorHAnsi"/>
          <w:bCs/>
          <w:sz w:val="24"/>
          <w:szCs w:val="24"/>
        </w:rPr>
        <w:t xml:space="preserve">(third-party) </w:t>
      </w:r>
      <w:r w:rsidRPr="003E74C0">
        <w:rPr>
          <w:rFonts w:asciiTheme="minorHAnsi" w:hAnsiTheme="minorHAnsi" w:cstheme="minorHAnsi"/>
          <w:bCs/>
          <w:sz w:val="24"/>
          <w:szCs w:val="24"/>
        </w:rPr>
        <w:t xml:space="preserve">submitting the Pre-Notification/ </w:t>
      </w:r>
      <w:r w:rsidR="00D54A2E" w:rsidRPr="003E74C0">
        <w:rPr>
          <w:rFonts w:asciiTheme="minorHAnsi" w:hAnsiTheme="minorHAnsi" w:cstheme="minorHAnsi"/>
          <w:bCs/>
          <w:sz w:val="24"/>
          <w:szCs w:val="24"/>
        </w:rPr>
        <w:t>Final Application</w:t>
      </w:r>
      <w:r w:rsidRPr="003E74C0">
        <w:rPr>
          <w:rFonts w:asciiTheme="minorHAnsi" w:hAnsiTheme="minorHAnsi" w:cstheme="minorHAnsi"/>
          <w:bCs/>
          <w:sz w:val="24"/>
          <w:szCs w:val="24"/>
        </w:rPr>
        <w:t xml:space="preserve">. </w:t>
      </w:r>
    </w:p>
    <w:p w14:paraId="7D4E5BEF" w14:textId="77777777" w:rsidR="0056447B" w:rsidRPr="003E74C0" w:rsidRDefault="0056447B" w:rsidP="0056447B">
      <w:pPr>
        <w:jc w:val="left"/>
        <w:rPr>
          <w:rFonts w:asciiTheme="minorHAnsi" w:hAnsiTheme="minorHAnsi" w:cstheme="minorHAnsi"/>
          <w:bCs/>
          <w:sz w:val="24"/>
          <w:szCs w:val="24"/>
        </w:rPr>
      </w:pPr>
    </w:p>
    <w:p w14:paraId="4229EB7E" w14:textId="77777777" w:rsidR="0056447B" w:rsidRPr="003E74C0" w:rsidRDefault="0056447B" w:rsidP="0016414F">
      <w:pPr>
        <w:pStyle w:val="CM17"/>
        <w:spacing w:after="240" w:line="253" w:lineRule="atLeast"/>
        <w:ind w:right="101"/>
        <w:rPr>
          <w:rFonts w:asciiTheme="minorHAnsi" w:hAnsiTheme="minorHAnsi" w:cstheme="minorHAnsi"/>
          <w:color w:val="000000"/>
          <w:position w:val="10"/>
          <w:vertAlign w:val="superscript"/>
        </w:rPr>
      </w:pPr>
      <w:r w:rsidRPr="003E74C0">
        <w:rPr>
          <w:rFonts w:asciiTheme="minorHAnsi" w:hAnsiTheme="minorHAnsi" w:cstheme="minorHAnsi"/>
          <w:b/>
          <w:bCs/>
        </w:rPr>
        <w:lastRenderedPageBreak/>
        <w:t>Customer:</w:t>
      </w:r>
      <w:r w:rsidRPr="006405FD">
        <w:rPr>
          <w:rFonts w:asciiTheme="minorHAnsi" w:hAnsiTheme="minorHAnsi" w:cstheme="minorHAnsi"/>
          <w:b/>
          <w:bCs/>
        </w:rPr>
        <w:t xml:space="preserve"> </w:t>
      </w:r>
      <w:r w:rsidR="0016414F" w:rsidRPr="003E74C0">
        <w:rPr>
          <w:rFonts w:asciiTheme="minorHAnsi" w:hAnsiTheme="minorHAnsi" w:cstheme="minorHAnsi"/>
          <w:color w:val="000000"/>
        </w:rPr>
        <w:t>For the Commercial Energy Solutions program, the customer is defined as an individual or entity paying gas bills for one or more locations or accounts. For very large multi-function customers such as governments or universities, a customer is also defined as the decision maker at an organization or firm that receives gas service from UES on an approved retail rate schedule. Frequently, this is determined by tax identification number, although other factors may also be considered. For example, an organization that has responsibility for the capital budget for multiple facilities and has one tax identification number, may receive incentives for several different projects at various facilities</w:t>
      </w:r>
      <w:r w:rsidR="009B2435" w:rsidRPr="003E74C0">
        <w:rPr>
          <w:rFonts w:asciiTheme="minorHAnsi" w:hAnsiTheme="minorHAnsi" w:cstheme="minorHAnsi"/>
          <w:color w:val="000000"/>
        </w:rPr>
        <w:t>. T</w:t>
      </w:r>
      <w:r w:rsidR="0016414F" w:rsidRPr="003E74C0">
        <w:rPr>
          <w:rFonts w:asciiTheme="minorHAnsi" w:hAnsiTheme="minorHAnsi" w:cstheme="minorHAnsi"/>
          <w:color w:val="000000"/>
        </w:rPr>
        <w:t>hat customer may reach the annual customer cap which no additional incentives can be paid in that program year. However, another parent organization may have subsidiaries (or departments) in which each subsidiary is responsible for its own capital budget (i.e., separate decision makers). In this case, each of these subsidiaries may be considered as a separate customer and thus, each would have its own cap.</w:t>
      </w:r>
      <w:r w:rsidR="0016414F" w:rsidRPr="003E74C0">
        <w:rPr>
          <w:rFonts w:asciiTheme="minorHAnsi" w:hAnsiTheme="minorHAnsi" w:cstheme="minorHAnsi"/>
          <w:color w:val="000000"/>
          <w:position w:val="10"/>
          <w:vertAlign w:val="superscript"/>
        </w:rPr>
        <w:t>2</w:t>
      </w:r>
    </w:p>
    <w:p w14:paraId="5D3C0A6D" w14:textId="77777777" w:rsidR="0056447B" w:rsidRPr="003E74C0" w:rsidRDefault="00D54A2E" w:rsidP="0056447B">
      <w:pPr>
        <w:spacing w:before="120"/>
        <w:jc w:val="left"/>
        <w:rPr>
          <w:rFonts w:asciiTheme="minorHAnsi" w:hAnsiTheme="minorHAnsi" w:cstheme="minorHAnsi"/>
          <w:sz w:val="24"/>
          <w:szCs w:val="24"/>
        </w:rPr>
      </w:pPr>
      <w:r w:rsidRPr="003E74C0">
        <w:rPr>
          <w:rFonts w:asciiTheme="minorHAnsi" w:hAnsiTheme="minorHAnsi" w:cstheme="minorHAnsi"/>
          <w:b/>
          <w:sz w:val="24"/>
          <w:szCs w:val="24"/>
        </w:rPr>
        <w:t>Final Application</w:t>
      </w:r>
      <w:r w:rsidR="0056447B" w:rsidRPr="003E74C0">
        <w:rPr>
          <w:rFonts w:asciiTheme="minorHAnsi" w:hAnsiTheme="minorHAnsi" w:cstheme="minorHAnsi"/>
          <w:b/>
          <w:sz w:val="24"/>
          <w:szCs w:val="24"/>
        </w:rPr>
        <w:t>:</w:t>
      </w:r>
      <w:r w:rsidR="0056447B" w:rsidRPr="003E74C0">
        <w:rPr>
          <w:rFonts w:asciiTheme="minorHAnsi" w:hAnsiTheme="minorHAnsi" w:cstheme="minorHAnsi"/>
          <w:sz w:val="24"/>
          <w:szCs w:val="24"/>
        </w:rPr>
        <w:t xml:space="preserve"> Once the project has been completed, the customer is to submit a copy of the </w:t>
      </w:r>
      <w:r w:rsidRPr="003E74C0">
        <w:rPr>
          <w:rFonts w:asciiTheme="minorHAnsi" w:hAnsiTheme="minorHAnsi" w:cstheme="minorHAnsi"/>
          <w:sz w:val="24"/>
          <w:szCs w:val="24"/>
        </w:rPr>
        <w:t>Final Application</w:t>
      </w:r>
      <w:r w:rsidR="0056447B" w:rsidRPr="003E74C0">
        <w:rPr>
          <w:rFonts w:asciiTheme="minorHAnsi" w:hAnsiTheme="minorHAnsi" w:cstheme="minorHAnsi"/>
          <w:sz w:val="24"/>
          <w:szCs w:val="24"/>
        </w:rPr>
        <w:t xml:space="preserve"> and appropriate measure worksheet(s). If a </w:t>
      </w:r>
      <w:r w:rsidR="00A929AF" w:rsidRPr="003E74C0">
        <w:rPr>
          <w:rFonts w:asciiTheme="minorHAnsi" w:hAnsiTheme="minorHAnsi" w:cstheme="minorHAnsi"/>
          <w:sz w:val="24"/>
          <w:szCs w:val="24"/>
        </w:rPr>
        <w:t xml:space="preserve">Pre-Notification Application </w:t>
      </w:r>
      <w:r w:rsidR="0056447B" w:rsidRPr="003E74C0">
        <w:rPr>
          <w:rFonts w:asciiTheme="minorHAnsi" w:hAnsiTheme="minorHAnsi" w:cstheme="minorHAnsi"/>
          <w:sz w:val="24"/>
          <w:szCs w:val="24"/>
        </w:rPr>
        <w:t xml:space="preserve">was submitted, the </w:t>
      </w:r>
      <w:r w:rsidRPr="003E74C0">
        <w:rPr>
          <w:rFonts w:asciiTheme="minorHAnsi" w:hAnsiTheme="minorHAnsi" w:cstheme="minorHAnsi"/>
          <w:sz w:val="24"/>
          <w:szCs w:val="24"/>
        </w:rPr>
        <w:t>Final Application</w:t>
      </w:r>
      <w:r w:rsidR="0056447B" w:rsidRPr="003E74C0">
        <w:rPr>
          <w:rFonts w:asciiTheme="minorHAnsi" w:hAnsiTheme="minorHAnsi" w:cstheme="minorHAnsi"/>
          <w:sz w:val="24"/>
          <w:szCs w:val="24"/>
        </w:rPr>
        <w:t xml:space="preserve"> should include any new or corrected information. The </w:t>
      </w:r>
      <w:r w:rsidRPr="003E74C0">
        <w:rPr>
          <w:rFonts w:asciiTheme="minorHAnsi" w:hAnsiTheme="minorHAnsi" w:cstheme="minorHAnsi"/>
          <w:sz w:val="24"/>
          <w:szCs w:val="24"/>
        </w:rPr>
        <w:t>Final Application</w:t>
      </w:r>
      <w:r w:rsidR="0056447B" w:rsidRPr="003E74C0">
        <w:rPr>
          <w:rFonts w:asciiTheme="minorHAnsi" w:hAnsiTheme="minorHAnsi" w:cstheme="minorHAnsi"/>
          <w:sz w:val="24"/>
          <w:szCs w:val="24"/>
        </w:rPr>
        <w:t xml:space="preserve"> must include an original signature and all appropriate backup documentation, including detailed invoices.</w:t>
      </w:r>
    </w:p>
    <w:p w14:paraId="6368E6A4" w14:textId="77777777" w:rsidR="0056447B" w:rsidRPr="003E74C0" w:rsidRDefault="0056447B" w:rsidP="0056447B">
      <w:pPr>
        <w:spacing w:before="120"/>
        <w:jc w:val="left"/>
        <w:rPr>
          <w:rFonts w:asciiTheme="minorHAnsi" w:hAnsiTheme="minorHAnsi" w:cstheme="minorHAnsi"/>
          <w:sz w:val="24"/>
          <w:szCs w:val="24"/>
        </w:rPr>
      </w:pPr>
      <w:r w:rsidRPr="003E74C0">
        <w:rPr>
          <w:rFonts w:asciiTheme="minorHAnsi" w:hAnsiTheme="minorHAnsi" w:cstheme="minorHAnsi"/>
          <w:b/>
          <w:bCs/>
          <w:sz w:val="24"/>
          <w:szCs w:val="24"/>
        </w:rPr>
        <w:t>Incremental Cost:</w:t>
      </w:r>
      <w:r w:rsidRPr="003E74C0">
        <w:rPr>
          <w:rFonts w:asciiTheme="minorHAnsi" w:hAnsiTheme="minorHAnsi" w:cstheme="minorHAnsi"/>
          <w:sz w:val="24"/>
          <w:szCs w:val="24"/>
        </w:rPr>
        <w:t xml:space="preserve"> Incremental measure cost is the difference between the cost of installing a high</w:t>
      </w:r>
      <w:r w:rsidR="007D1CF4" w:rsidRPr="003E74C0">
        <w:rPr>
          <w:rFonts w:asciiTheme="minorHAnsi" w:hAnsiTheme="minorHAnsi" w:cstheme="minorHAnsi"/>
          <w:sz w:val="24"/>
          <w:szCs w:val="24"/>
        </w:rPr>
        <w:t>-</w:t>
      </w:r>
      <w:r w:rsidRPr="003E74C0">
        <w:rPr>
          <w:rFonts w:asciiTheme="minorHAnsi" w:hAnsiTheme="minorHAnsi" w:cstheme="minorHAnsi"/>
          <w:sz w:val="24"/>
          <w:szCs w:val="24"/>
        </w:rPr>
        <w:t>efficiency piece of equipment and lower</w:t>
      </w:r>
      <w:r w:rsidR="007D1CF4" w:rsidRPr="003E74C0">
        <w:rPr>
          <w:rFonts w:asciiTheme="minorHAnsi" w:hAnsiTheme="minorHAnsi" w:cstheme="minorHAnsi"/>
          <w:sz w:val="24"/>
          <w:szCs w:val="24"/>
        </w:rPr>
        <w:t>-</w:t>
      </w:r>
      <w:r w:rsidRPr="003E74C0">
        <w:rPr>
          <w:rFonts w:asciiTheme="minorHAnsi" w:hAnsiTheme="minorHAnsi" w:cstheme="minorHAnsi"/>
          <w:sz w:val="24"/>
          <w:szCs w:val="24"/>
        </w:rPr>
        <w:t>cost standard equipment. The TEP Commercial Energy Solutions team will use data provided by the customer and typical industry base cost to determine the incremental measure cost. In some cases, the full measure cost will be used</w:t>
      </w:r>
      <w:r w:rsidR="007D1CF4" w:rsidRPr="003E74C0">
        <w:rPr>
          <w:rFonts w:asciiTheme="minorHAnsi" w:hAnsiTheme="minorHAnsi" w:cstheme="minorHAnsi"/>
          <w:sz w:val="24"/>
          <w:szCs w:val="24"/>
        </w:rPr>
        <w:t>;</w:t>
      </w:r>
      <w:r w:rsidRPr="003E74C0">
        <w:rPr>
          <w:rFonts w:asciiTheme="minorHAnsi" w:hAnsiTheme="minorHAnsi" w:cstheme="minorHAnsi"/>
          <w:sz w:val="24"/>
          <w:szCs w:val="24"/>
        </w:rPr>
        <w:t xml:space="preserve"> in other cases</w:t>
      </w:r>
      <w:r w:rsidR="00E20F51" w:rsidRPr="003E74C0">
        <w:rPr>
          <w:rFonts w:asciiTheme="minorHAnsi" w:hAnsiTheme="minorHAnsi" w:cstheme="minorHAnsi"/>
          <w:sz w:val="24"/>
          <w:szCs w:val="24"/>
        </w:rPr>
        <w:t>,</w:t>
      </w:r>
      <w:r w:rsidRPr="003E74C0">
        <w:rPr>
          <w:rFonts w:asciiTheme="minorHAnsi" w:hAnsiTheme="minorHAnsi" w:cstheme="minorHAnsi"/>
          <w:sz w:val="24"/>
          <w:szCs w:val="24"/>
        </w:rPr>
        <w:t xml:space="preserve"> only a portion of the full measure cost is appropriate. Direct labor costs incurred by the TEP customer will not be considered as measure costs for each measure. Please contact the TEP Commercial Energy Solutions team for clarification or assistance in determining the right value.</w:t>
      </w:r>
    </w:p>
    <w:p w14:paraId="4A6502C3" w14:textId="77777777" w:rsidR="0056447B" w:rsidRPr="003E74C0" w:rsidRDefault="0056447B" w:rsidP="0056447B">
      <w:pPr>
        <w:spacing w:before="120"/>
        <w:jc w:val="left"/>
        <w:rPr>
          <w:rFonts w:asciiTheme="minorHAnsi" w:hAnsiTheme="minorHAnsi" w:cstheme="minorHAnsi"/>
          <w:sz w:val="24"/>
          <w:szCs w:val="24"/>
        </w:rPr>
      </w:pPr>
      <w:r w:rsidRPr="003E74C0">
        <w:rPr>
          <w:rFonts w:asciiTheme="minorHAnsi" w:hAnsiTheme="minorHAnsi" w:cstheme="minorHAnsi"/>
          <w:b/>
          <w:sz w:val="24"/>
          <w:szCs w:val="24"/>
        </w:rPr>
        <w:t>Pre-Notification</w:t>
      </w:r>
      <w:r w:rsidRPr="003E74C0">
        <w:rPr>
          <w:rFonts w:asciiTheme="minorHAnsi" w:hAnsiTheme="minorHAnsi" w:cstheme="minorHAnsi"/>
          <w:sz w:val="24"/>
          <w:szCs w:val="24"/>
        </w:rPr>
        <w:t xml:space="preserve">: Pre-notification is the application process of informing the TEP Commercial Energy Solutions team of your project plans for pre-approval based on customer eligibility and project requirements. </w:t>
      </w:r>
    </w:p>
    <w:p w14:paraId="2027BCDF" w14:textId="77777777" w:rsidR="0056447B" w:rsidRPr="003E74C0" w:rsidRDefault="0056447B" w:rsidP="0056447B">
      <w:pPr>
        <w:spacing w:before="120"/>
        <w:jc w:val="left"/>
        <w:rPr>
          <w:rFonts w:asciiTheme="minorHAnsi" w:hAnsiTheme="minorHAnsi" w:cstheme="minorHAnsi"/>
          <w:sz w:val="24"/>
          <w:szCs w:val="24"/>
        </w:rPr>
      </w:pPr>
      <w:r w:rsidRPr="003E74C0">
        <w:rPr>
          <w:rFonts w:asciiTheme="minorHAnsi" w:hAnsiTheme="minorHAnsi" w:cstheme="minorHAnsi"/>
          <w:b/>
          <w:bCs/>
          <w:sz w:val="24"/>
          <w:szCs w:val="24"/>
        </w:rPr>
        <w:t>Prescriptive Incentive:</w:t>
      </w:r>
      <w:r w:rsidRPr="003E74C0">
        <w:rPr>
          <w:rFonts w:asciiTheme="minorHAnsi" w:hAnsiTheme="minorHAnsi" w:cstheme="minorHAnsi"/>
          <w:sz w:val="24"/>
          <w:szCs w:val="24"/>
        </w:rPr>
        <w:t xml:space="preserve"> </w:t>
      </w:r>
      <w:r w:rsidR="00F85EA6" w:rsidRPr="003E74C0">
        <w:rPr>
          <w:rFonts w:asciiTheme="minorHAnsi" w:hAnsiTheme="minorHAnsi" w:cstheme="minorHAnsi"/>
          <w:sz w:val="24"/>
          <w:szCs w:val="24"/>
        </w:rPr>
        <w:t>R</w:t>
      </w:r>
      <w:r w:rsidRPr="003E74C0">
        <w:rPr>
          <w:rFonts w:asciiTheme="minorHAnsi" w:hAnsiTheme="minorHAnsi" w:cstheme="minorHAnsi"/>
          <w:sz w:val="24"/>
          <w:szCs w:val="24"/>
        </w:rPr>
        <w:t>efers to incentives that are tied to a unit of measure other than energy savings. These measures are pre-determined and do not require any technical analysis to qualify for a rebate.</w:t>
      </w:r>
    </w:p>
    <w:p w14:paraId="2F857C2C" w14:textId="77777777" w:rsidR="000C5C92" w:rsidRPr="003E74C0" w:rsidRDefault="0056447B" w:rsidP="0056447B">
      <w:pPr>
        <w:spacing w:before="120"/>
        <w:jc w:val="left"/>
        <w:rPr>
          <w:rFonts w:asciiTheme="minorHAnsi" w:hAnsiTheme="minorHAnsi" w:cstheme="minorHAnsi"/>
          <w:sz w:val="24"/>
          <w:szCs w:val="24"/>
        </w:rPr>
      </w:pPr>
      <w:bookmarkStart w:id="38" w:name="_Toc142442994"/>
      <w:r w:rsidRPr="003E74C0">
        <w:rPr>
          <w:rFonts w:asciiTheme="minorHAnsi" w:hAnsiTheme="minorHAnsi" w:cstheme="minorHAnsi"/>
          <w:b/>
          <w:iCs/>
          <w:sz w:val="24"/>
          <w:szCs w:val="24"/>
        </w:rPr>
        <w:t>Rebate/Incentive:</w:t>
      </w:r>
      <w:r w:rsidRPr="003E74C0">
        <w:rPr>
          <w:rFonts w:asciiTheme="minorHAnsi" w:hAnsiTheme="minorHAnsi" w:cstheme="minorHAnsi"/>
          <w:iCs/>
          <w:sz w:val="24"/>
          <w:szCs w:val="24"/>
        </w:rPr>
        <w:t xml:space="preserve"> </w:t>
      </w:r>
      <w:r w:rsidRPr="003E74C0">
        <w:rPr>
          <w:rFonts w:asciiTheme="minorHAnsi" w:hAnsiTheme="minorHAnsi" w:cstheme="minorHAnsi"/>
          <w:sz w:val="24"/>
          <w:szCs w:val="24"/>
        </w:rPr>
        <w:t xml:space="preserve">The rebate is the amount to be paid to the customer or contractor once the energy efficiency measure(s) have been installed and final project documentation has been approved. Rebate levels are determined </w:t>
      </w:r>
      <w:r w:rsidR="00E111EE" w:rsidRPr="003E74C0">
        <w:rPr>
          <w:rFonts w:asciiTheme="minorHAnsi" w:hAnsiTheme="minorHAnsi" w:cstheme="minorHAnsi"/>
          <w:sz w:val="24"/>
          <w:szCs w:val="24"/>
        </w:rPr>
        <w:t>by</w:t>
      </w:r>
      <w:r w:rsidRPr="003E74C0">
        <w:rPr>
          <w:rFonts w:asciiTheme="minorHAnsi" w:hAnsiTheme="minorHAnsi" w:cstheme="minorHAnsi"/>
          <w:sz w:val="24"/>
          <w:szCs w:val="24"/>
        </w:rPr>
        <w:t xml:space="preserve"> the project specifications and can be found by measure or type on the program </w:t>
      </w:r>
      <w:r w:rsidR="00D54A2E" w:rsidRPr="003E74C0">
        <w:rPr>
          <w:rFonts w:asciiTheme="minorHAnsi" w:hAnsiTheme="minorHAnsi" w:cstheme="minorHAnsi"/>
          <w:sz w:val="24"/>
          <w:szCs w:val="24"/>
        </w:rPr>
        <w:t>Application Form</w:t>
      </w:r>
      <w:r w:rsidRPr="003E74C0">
        <w:rPr>
          <w:rFonts w:asciiTheme="minorHAnsi" w:hAnsiTheme="minorHAnsi" w:cstheme="minorHAnsi"/>
          <w:sz w:val="24"/>
          <w:szCs w:val="24"/>
        </w:rPr>
        <w:t>s.</w:t>
      </w:r>
      <w:bookmarkEnd w:id="38"/>
    </w:p>
    <w:p w14:paraId="2EF97090" w14:textId="77777777" w:rsidR="0056447B" w:rsidRPr="000C5C92" w:rsidRDefault="000C5C92" w:rsidP="000C5C92">
      <w:pPr>
        <w:pStyle w:val="CM17"/>
        <w:spacing w:after="240" w:line="253" w:lineRule="atLeast"/>
        <w:ind w:right="100"/>
        <w:rPr>
          <w:rFonts w:ascii="Calibri" w:hAnsi="Calibri" w:cs="Calibri"/>
          <w:sz w:val="18"/>
          <w:szCs w:val="18"/>
        </w:rPr>
      </w:pPr>
      <w:r w:rsidRPr="000C5C92">
        <w:rPr>
          <w:rFonts w:ascii="Calibri" w:hAnsi="Calibri" w:cs="Calibri"/>
          <w:position w:val="9"/>
          <w:sz w:val="18"/>
          <w:szCs w:val="18"/>
          <w:vertAlign w:val="superscript"/>
        </w:rPr>
        <w:t>2</w:t>
      </w:r>
      <w:r w:rsidRPr="000C5C92">
        <w:rPr>
          <w:rFonts w:ascii="Calibri" w:hAnsi="Calibri" w:cs="Calibri"/>
          <w:sz w:val="18"/>
          <w:szCs w:val="18"/>
        </w:rPr>
        <w:t xml:space="preserve"> Government facilities are frequently an example for this exception as they often have a single tax identification number for numerous departments. In this case, the agency or organization responsible for the capital projects budget is defined as the customer for the purpose of setting customer caps. </w:t>
      </w:r>
    </w:p>
    <w:p w14:paraId="32601037" w14:textId="77777777" w:rsidR="0056447B" w:rsidRPr="00CA2715" w:rsidRDefault="0056447B" w:rsidP="0056447B">
      <w:pPr>
        <w:pStyle w:val="Heading1"/>
        <w:numPr>
          <w:ilvl w:val="0"/>
          <w:numId w:val="3"/>
        </w:numPr>
        <w:spacing w:before="120" w:after="120"/>
        <w:rPr>
          <w:rFonts w:asciiTheme="minorHAnsi" w:hAnsiTheme="minorHAnsi" w:cstheme="minorHAnsi"/>
        </w:rPr>
      </w:pPr>
      <w:bookmarkStart w:id="39" w:name="_Toc511029312"/>
      <w:bookmarkStart w:id="40" w:name="_Toc511996629"/>
      <w:r w:rsidRPr="00CA2715">
        <w:rPr>
          <w:rFonts w:asciiTheme="minorHAnsi" w:hAnsiTheme="minorHAnsi" w:cstheme="minorHAnsi"/>
        </w:rPr>
        <w:lastRenderedPageBreak/>
        <w:t>Contact Information</w:t>
      </w:r>
      <w:bookmarkEnd w:id="39"/>
      <w:bookmarkEnd w:id="40"/>
    </w:p>
    <w:p w14:paraId="2A5AE7E5" w14:textId="77777777" w:rsidR="0056447B" w:rsidRPr="006405FD" w:rsidRDefault="0056447B" w:rsidP="00CA2715">
      <w:pPr>
        <w:ind w:left="1080"/>
        <w:rPr>
          <w:rFonts w:asciiTheme="minorHAnsi" w:hAnsiTheme="minorHAnsi" w:cstheme="minorHAnsi"/>
          <w:szCs w:val="22"/>
        </w:rPr>
      </w:pPr>
      <w:r w:rsidRPr="006405FD">
        <w:rPr>
          <w:rFonts w:asciiTheme="minorHAnsi" w:hAnsiTheme="minorHAnsi" w:cstheme="minorHAnsi"/>
          <w:szCs w:val="22"/>
        </w:rPr>
        <w:t>TEP Commercial Energy Solutions</w:t>
      </w:r>
    </w:p>
    <w:p w14:paraId="7C7F14D4" w14:textId="77777777" w:rsidR="0056447B" w:rsidRPr="006405FD" w:rsidRDefault="0056447B" w:rsidP="00CA2715">
      <w:pPr>
        <w:ind w:left="1080"/>
        <w:rPr>
          <w:rFonts w:asciiTheme="minorHAnsi" w:hAnsiTheme="minorHAnsi" w:cstheme="minorHAnsi"/>
          <w:szCs w:val="22"/>
        </w:rPr>
      </w:pPr>
      <w:r w:rsidRPr="00B65E1F">
        <w:rPr>
          <w:rFonts w:asciiTheme="minorHAnsi" w:hAnsiTheme="minorHAnsi" w:cstheme="minorHAnsi"/>
          <w:szCs w:val="22"/>
        </w:rPr>
        <w:t>88 E</w:t>
      </w:r>
      <w:r w:rsidR="007D1CF4" w:rsidRPr="00B65E1F">
        <w:rPr>
          <w:rFonts w:asciiTheme="minorHAnsi" w:hAnsiTheme="minorHAnsi" w:cstheme="minorHAnsi"/>
          <w:szCs w:val="22"/>
        </w:rPr>
        <w:t>.</w:t>
      </w:r>
      <w:r w:rsidRPr="006405FD">
        <w:rPr>
          <w:rFonts w:asciiTheme="minorHAnsi" w:hAnsiTheme="minorHAnsi" w:cstheme="minorHAnsi"/>
          <w:szCs w:val="22"/>
        </w:rPr>
        <w:t xml:space="preserve"> Broadway Blvd</w:t>
      </w:r>
      <w:r w:rsidR="007D1CF4" w:rsidRPr="006405FD">
        <w:rPr>
          <w:rFonts w:asciiTheme="minorHAnsi" w:hAnsiTheme="minorHAnsi" w:cstheme="minorHAnsi"/>
          <w:szCs w:val="22"/>
        </w:rPr>
        <w:t>.</w:t>
      </w:r>
    </w:p>
    <w:p w14:paraId="324F04A6" w14:textId="77777777" w:rsidR="0056447B" w:rsidRPr="006405FD" w:rsidRDefault="0056447B" w:rsidP="00CA2715">
      <w:pPr>
        <w:ind w:left="1080"/>
        <w:rPr>
          <w:rFonts w:asciiTheme="minorHAnsi" w:hAnsiTheme="minorHAnsi" w:cstheme="minorHAnsi"/>
          <w:szCs w:val="22"/>
        </w:rPr>
      </w:pPr>
      <w:r w:rsidRPr="006405FD">
        <w:rPr>
          <w:rFonts w:asciiTheme="minorHAnsi" w:hAnsiTheme="minorHAnsi" w:cstheme="minorHAnsi"/>
          <w:szCs w:val="22"/>
        </w:rPr>
        <w:t>Mail Stop HQE504</w:t>
      </w:r>
    </w:p>
    <w:p w14:paraId="1C72230F" w14:textId="77777777" w:rsidR="0056447B" w:rsidRPr="006405FD" w:rsidRDefault="0056447B" w:rsidP="00CA2715">
      <w:pPr>
        <w:ind w:left="1080"/>
        <w:rPr>
          <w:rFonts w:asciiTheme="minorHAnsi" w:hAnsiTheme="minorHAnsi" w:cstheme="minorHAnsi"/>
          <w:szCs w:val="22"/>
        </w:rPr>
      </w:pPr>
      <w:r w:rsidRPr="006405FD">
        <w:rPr>
          <w:rFonts w:asciiTheme="minorHAnsi" w:hAnsiTheme="minorHAnsi" w:cstheme="minorHAnsi"/>
          <w:szCs w:val="22"/>
        </w:rPr>
        <w:t>P</w:t>
      </w:r>
      <w:r w:rsidR="007D1CF4" w:rsidRPr="006405FD">
        <w:rPr>
          <w:rFonts w:asciiTheme="minorHAnsi" w:hAnsiTheme="minorHAnsi" w:cstheme="minorHAnsi"/>
          <w:szCs w:val="22"/>
        </w:rPr>
        <w:t>.</w:t>
      </w:r>
      <w:r w:rsidRPr="006405FD">
        <w:rPr>
          <w:rFonts w:asciiTheme="minorHAnsi" w:hAnsiTheme="minorHAnsi" w:cstheme="minorHAnsi"/>
          <w:szCs w:val="22"/>
        </w:rPr>
        <w:t>O</w:t>
      </w:r>
      <w:r w:rsidR="007D1CF4" w:rsidRPr="006405FD">
        <w:rPr>
          <w:rFonts w:asciiTheme="minorHAnsi" w:hAnsiTheme="minorHAnsi" w:cstheme="minorHAnsi"/>
          <w:szCs w:val="22"/>
        </w:rPr>
        <w:t>.</w:t>
      </w:r>
      <w:r w:rsidRPr="006405FD">
        <w:rPr>
          <w:rFonts w:asciiTheme="minorHAnsi" w:hAnsiTheme="minorHAnsi" w:cstheme="minorHAnsi"/>
          <w:szCs w:val="22"/>
        </w:rPr>
        <w:t xml:space="preserve"> Box 711</w:t>
      </w:r>
    </w:p>
    <w:p w14:paraId="61B7A640" w14:textId="77777777" w:rsidR="0056447B" w:rsidRPr="006405FD" w:rsidRDefault="0056447B" w:rsidP="00CA2715">
      <w:pPr>
        <w:ind w:left="1080"/>
        <w:rPr>
          <w:rFonts w:asciiTheme="minorHAnsi" w:hAnsiTheme="minorHAnsi" w:cstheme="minorHAnsi"/>
          <w:szCs w:val="22"/>
        </w:rPr>
      </w:pPr>
      <w:r w:rsidRPr="006405FD">
        <w:rPr>
          <w:rFonts w:asciiTheme="minorHAnsi" w:hAnsiTheme="minorHAnsi" w:cstheme="minorHAnsi"/>
          <w:szCs w:val="22"/>
        </w:rPr>
        <w:t>Tucson, AZ 85702</w:t>
      </w:r>
    </w:p>
    <w:p w14:paraId="5D71E11B" w14:textId="77777777" w:rsidR="0056447B" w:rsidRPr="006405FD" w:rsidRDefault="000C5C92" w:rsidP="00CA2715">
      <w:pPr>
        <w:ind w:left="1080"/>
        <w:rPr>
          <w:rFonts w:asciiTheme="minorHAnsi" w:hAnsiTheme="minorHAnsi" w:cstheme="minorHAnsi"/>
          <w:szCs w:val="22"/>
        </w:rPr>
      </w:pPr>
      <w:r w:rsidRPr="006405FD">
        <w:rPr>
          <w:rFonts w:asciiTheme="minorHAnsi" w:hAnsiTheme="minorHAnsi" w:cstheme="minorHAnsi"/>
          <w:szCs w:val="22"/>
        </w:rPr>
        <w:t xml:space="preserve">Fax:    </w:t>
      </w:r>
      <w:r w:rsidR="0056447B" w:rsidRPr="006405FD">
        <w:rPr>
          <w:rFonts w:asciiTheme="minorHAnsi" w:hAnsiTheme="minorHAnsi" w:cstheme="minorHAnsi"/>
          <w:szCs w:val="22"/>
        </w:rPr>
        <w:t>1-866-277-5604</w:t>
      </w:r>
    </w:p>
    <w:p w14:paraId="74D5AC4F" w14:textId="77777777" w:rsidR="0056447B" w:rsidRPr="00CA2715" w:rsidRDefault="0056447B" w:rsidP="00CA2715">
      <w:pPr>
        <w:ind w:left="1080"/>
        <w:rPr>
          <w:rFonts w:asciiTheme="minorHAnsi" w:hAnsiTheme="minorHAnsi" w:cstheme="minorHAnsi"/>
          <w:b/>
          <w:u w:val="single"/>
        </w:rPr>
      </w:pPr>
      <w:r w:rsidRPr="006405FD">
        <w:rPr>
          <w:rFonts w:asciiTheme="minorHAnsi" w:hAnsiTheme="minorHAnsi" w:cstheme="minorHAnsi"/>
          <w:szCs w:val="22"/>
        </w:rPr>
        <w:t xml:space="preserve">Email: </w:t>
      </w:r>
      <w:hyperlink r:id="rId17" w:history="1">
        <w:r w:rsidRPr="006405FD">
          <w:rPr>
            <w:rStyle w:val="Hyperlink"/>
            <w:rFonts w:asciiTheme="minorHAnsi" w:hAnsiTheme="minorHAnsi" w:cstheme="minorHAnsi"/>
            <w:szCs w:val="22"/>
          </w:rPr>
          <w:t xml:space="preserve"> ces@</w:t>
        </w:r>
        <w:r w:rsidR="000C5C92" w:rsidRPr="006405FD">
          <w:rPr>
            <w:rStyle w:val="Hyperlink"/>
            <w:rFonts w:asciiTheme="minorHAnsi" w:hAnsiTheme="minorHAnsi" w:cstheme="minorHAnsi"/>
            <w:szCs w:val="22"/>
          </w:rPr>
          <w:t>uesaz</w:t>
        </w:r>
        <w:r w:rsidRPr="006405FD">
          <w:rPr>
            <w:rStyle w:val="Hyperlink"/>
            <w:rFonts w:asciiTheme="minorHAnsi" w:hAnsiTheme="minorHAnsi" w:cstheme="minorHAnsi"/>
            <w:szCs w:val="22"/>
          </w:rPr>
          <w:t>.com</w:t>
        </w:r>
      </w:hyperlink>
      <w:r w:rsidRPr="00CA2715">
        <w:rPr>
          <w:rFonts w:asciiTheme="minorHAnsi" w:hAnsiTheme="minorHAnsi" w:cstheme="minorHAnsi"/>
          <w:b/>
          <w:u w:val="single"/>
        </w:rPr>
        <w:br w:type="page"/>
      </w:r>
    </w:p>
    <w:p w14:paraId="44405B4B" w14:textId="77777777" w:rsidR="0056447B" w:rsidRPr="00CA2715" w:rsidRDefault="00FD3B60" w:rsidP="00CA2715">
      <w:pPr>
        <w:outlineLvl w:val="0"/>
        <w:rPr>
          <w:rFonts w:asciiTheme="minorHAnsi" w:hAnsiTheme="minorHAnsi" w:cstheme="minorHAnsi"/>
          <w:sz w:val="34"/>
          <w:szCs w:val="34"/>
        </w:rPr>
      </w:pPr>
      <w:bookmarkStart w:id="41" w:name="_Toc511996630"/>
      <w:r w:rsidRPr="00CA2715">
        <w:rPr>
          <w:rFonts w:asciiTheme="minorHAnsi" w:hAnsiTheme="minorHAnsi" w:cstheme="minorHAnsi"/>
          <w:sz w:val="34"/>
          <w:szCs w:val="34"/>
        </w:rPr>
        <w:lastRenderedPageBreak/>
        <w:t>Appendix A</w:t>
      </w:r>
      <w:r w:rsidR="00907201" w:rsidRPr="00CA2715">
        <w:rPr>
          <w:rFonts w:asciiTheme="minorHAnsi" w:hAnsiTheme="minorHAnsi" w:cstheme="minorHAnsi"/>
          <w:sz w:val="34"/>
          <w:szCs w:val="34"/>
        </w:rPr>
        <w:t>: General Process</w:t>
      </w:r>
      <w:bookmarkEnd w:id="41"/>
    </w:p>
    <w:p w14:paraId="73FB2B2D" w14:textId="77777777" w:rsidR="00416558" w:rsidRPr="00CA2715" w:rsidRDefault="00416558">
      <w:pPr>
        <w:rPr>
          <w:rFonts w:asciiTheme="minorHAnsi" w:hAnsiTheme="minorHAnsi" w:cstheme="minorHAnsi"/>
        </w:rPr>
      </w:pPr>
    </w:p>
    <w:p w14:paraId="05B462E0" w14:textId="77777777" w:rsidR="00FD3B60" w:rsidRPr="00CA2715" w:rsidRDefault="00C76A1C" w:rsidP="00CA2715">
      <w:pPr>
        <w:jc w:val="center"/>
        <w:rPr>
          <w:rFonts w:asciiTheme="minorHAnsi" w:hAnsiTheme="minorHAnsi" w:cstheme="minorHAnsi"/>
        </w:rPr>
      </w:pPr>
      <w:r w:rsidRPr="00CA2715">
        <w:rPr>
          <w:rFonts w:asciiTheme="minorHAnsi" w:hAnsiTheme="minorHAnsi" w:cstheme="minorHAnsi"/>
        </w:rPr>
        <w:object w:dxaOrig="5700" w:dyaOrig="10471" w14:anchorId="6A7D8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525.75pt" o:ole="">
            <v:imagedata r:id="rId18" o:title=""/>
          </v:shape>
          <o:OLEObject Type="Embed" ProgID="Visio.Drawing.15" ShapeID="_x0000_i1025" DrawAspect="Content" ObjectID="_1644129050" r:id="rId19"/>
        </w:object>
      </w:r>
    </w:p>
    <w:p w14:paraId="7441D2DC" w14:textId="77777777" w:rsidR="00A0192C" w:rsidRPr="00CA2715" w:rsidRDefault="00A0192C" w:rsidP="00CA2715">
      <w:pPr>
        <w:jc w:val="center"/>
        <w:rPr>
          <w:rFonts w:asciiTheme="minorHAnsi" w:hAnsiTheme="minorHAnsi" w:cstheme="minorHAnsi"/>
        </w:rPr>
      </w:pPr>
    </w:p>
    <w:p w14:paraId="1C433790" w14:textId="77777777" w:rsidR="00A9007B" w:rsidRPr="00CA2715" w:rsidRDefault="002F7BE5" w:rsidP="00CA2715">
      <w:pPr>
        <w:jc w:val="center"/>
        <w:rPr>
          <w:rFonts w:asciiTheme="minorHAnsi" w:hAnsiTheme="minorHAnsi" w:cstheme="minorHAnsi"/>
        </w:rPr>
      </w:pPr>
      <w:r w:rsidRPr="00CA2715">
        <w:rPr>
          <w:rFonts w:asciiTheme="minorHAnsi" w:hAnsiTheme="minorHAnsi" w:cstheme="minorHAnsi"/>
        </w:rPr>
        <w:object w:dxaOrig="5925" w:dyaOrig="8820" w14:anchorId="6D8F1B10">
          <v:shape id="_x0000_i1026" type="#_x0000_t75" style="width:352.5pt;height:439.5pt" o:ole="">
            <v:imagedata r:id="rId20" o:title=""/>
          </v:shape>
          <o:OLEObject Type="Embed" ProgID="Visio.Drawing.15" ShapeID="_x0000_i1026" DrawAspect="Content" ObjectID="_1644129051" r:id="rId21"/>
        </w:object>
      </w:r>
    </w:p>
    <w:p w14:paraId="59B749AE" w14:textId="77777777" w:rsidR="00FD3B60" w:rsidRPr="00CA2715" w:rsidRDefault="00A9007B" w:rsidP="00F335D7">
      <w:pPr>
        <w:jc w:val="center"/>
        <w:rPr>
          <w:rFonts w:asciiTheme="minorHAnsi" w:hAnsiTheme="minorHAnsi" w:cstheme="minorHAnsi"/>
        </w:rPr>
      </w:pPr>
      <w:r w:rsidRPr="00CA2715" w:rsidDel="00A9007B">
        <w:rPr>
          <w:rFonts w:asciiTheme="minorHAnsi" w:hAnsiTheme="minorHAnsi" w:cstheme="minorHAnsi"/>
          <w:noProof/>
        </w:rPr>
        <w:t xml:space="preserve"> </w:t>
      </w:r>
    </w:p>
    <w:sectPr w:rsidR="00FD3B60" w:rsidRPr="00CA2715" w:rsidSect="009952AC">
      <w:headerReference w:type="default" r:id="rId22"/>
      <w:footerReference w:type="default" r:id="rId23"/>
      <w:footerReference w:type="first" r:id="rId24"/>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80DF" w14:textId="77777777" w:rsidR="00063868" w:rsidRDefault="00063868" w:rsidP="0056447B">
      <w:r>
        <w:separator/>
      </w:r>
    </w:p>
  </w:endnote>
  <w:endnote w:type="continuationSeparator" w:id="0">
    <w:p w14:paraId="2C05E801" w14:textId="77777777" w:rsidR="00063868" w:rsidRDefault="00063868" w:rsidP="005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C82E" w14:textId="77777777" w:rsidR="00236998" w:rsidRPr="000F2330" w:rsidRDefault="00236998" w:rsidP="00095C31">
    <w:pPr>
      <w:jc w:val="center"/>
      <w:rPr>
        <w:rFonts w:ascii="Arial" w:hAnsi="Arial" w:cs="Arial"/>
        <w:sz w:val="16"/>
        <w:szCs w:val="16"/>
      </w:rPr>
    </w:pPr>
    <w:r w:rsidRPr="000F2330">
      <w:rPr>
        <w:rFonts w:ascii="Arial" w:hAnsi="Arial" w:cs="Arial"/>
        <w:sz w:val="16"/>
        <w:szCs w:val="16"/>
      </w:rPr>
      <w:t xml:space="preserve">Paid for by </w:t>
    </w:r>
    <w:r>
      <w:rPr>
        <w:rFonts w:ascii="Arial" w:hAnsi="Arial" w:cs="Arial"/>
        <w:sz w:val="16"/>
        <w:szCs w:val="16"/>
      </w:rPr>
      <w:t>UniSource Energy Services gas</w:t>
    </w:r>
    <w:r w:rsidRPr="000F2330">
      <w:rPr>
        <w:rFonts w:ascii="Arial" w:hAnsi="Arial" w:cs="Arial"/>
        <w:sz w:val="16"/>
        <w:szCs w:val="16"/>
      </w:rPr>
      <w:t xml:space="preserve"> customers and approved by the Arizona Corporation Commission.</w:t>
    </w:r>
  </w:p>
  <w:p w14:paraId="0B027D7B" w14:textId="77777777" w:rsidR="00236998" w:rsidRPr="000F2330" w:rsidRDefault="00236998" w:rsidP="0056447B">
    <w:pPr>
      <w:jc w:val="right"/>
      <w:rPr>
        <w:rFonts w:ascii="Arial" w:hAnsi="Arial" w:cs="Arial"/>
        <w:sz w:val="16"/>
        <w:szCs w:val="16"/>
      </w:rPr>
    </w:pPr>
  </w:p>
  <w:p w14:paraId="79949951" w14:textId="1076184D" w:rsidR="00236998" w:rsidRPr="000F2330" w:rsidRDefault="00236998" w:rsidP="0056447B">
    <w:pPr>
      <w:jc w:val="right"/>
      <w:rPr>
        <w:rFonts w:ascii="Arial" w:hAnsi="Arial" w:cs="Arial"/>
        <w:sz w:val="16"/>
        <w:szCs w:val="16"/>
      </w:rPr>
    </w:pPr>
    <w:r w:rsidRPr="000F2330">
      <w:rPr>
        <w:rStyle w:val="PageNumber"/>
        <w:rFonts w:ascii="Arial" w:hAnsi="Arial" w:cs="Arial"/>
        <w:sz w:val="16"/>
        <w:szCs w:val="16"/>
      </w:rPr>
      <w:fldChar w:fldCharType="begin"/>
    </w:r>
    <w:r w:rsidRPr="000F2330">
      <w:rPr>
        <w:rStyle w:val="PageNumber"/>
        <w:rFonts w:ascii="Arial" w:hAnsi="Arial" w:cs="Arial"/>
        <w:sz w:val="16"/>
        <w:szCs w:val="16"/>
      </w:rPr>
      <w:instrText xml:space="preserve"> PAGE </w:instrText>
    </w:r>
    <w:r w:rsidRPr="000F2330">
      <w:rPr>
        <w:rStyle w:val="PageNumber"/>
        <w:rFonts w:ascii="Arial" w:hAnsi="Arial" w:cs="Arial"/>
        <w:sz w:val="16"/>
        <w:szCs w:val="16"/>
      </w:rPr>
      <w:fldChar w:fldCharType="separate"/>
    </w:r>
    <w:r w:rsidR="005539A1">
      <w:rPr>
        <w:rStyle w:val="PageNumber"/>
        <w:rFonts w:ascii="Arial" w:hAnsi="Arial" w:cs="Arial"/>
        <w:noProof/>
        <w:sz w:val="16"/>
        <w:szCs w:val="16"/>
      </w:rPr>
      <w:t>7</w:t>
    </w:r>
    <w:r w:rsidRPr="000F2330">
      <w:rPr>
        <w:rStyle w:val="PageNumber"/>
        <w:rFonts w:ascii="Arial" w:hAnsi="Arial" w:cs="Arial"/>
        <w:sz w:val="16"/>
        <w:szCs w:val="16"/>
      </w:rPr>
      <w:fldChar w:fldCharType="end"/>
    </w:r>
    <w:r w:rsidRPr="000F2330">
      <w:rPr>
        <w:rStyle w:val="PageNumber"/>
        <w:rFonts w:ascii="Arial" w:hAnsi="Arial" w:cs="Arial"/>
        <w:sz w:val="16"/>
        <w:szCs w:val="16"/>
      </w:rPr>
      <w:t xml:space="preserve"> of </w:t>
    </w:r>
    <w:r w:rsidRPr="000F2330">
      <w:rPr>
        <w:rStyle w:val="PageNumber"/>
        <w:rFonts w:ascii="Arial" w:hAnsi="Arial" w:cs="Arial"/>
        <w:sz w:val="16"/>
        <w:szCs w:val="16"/>
      </w:rPr>
      <w:fldChar w:fldCharType="begin"/>
    </w:r>
    <w:r w:rsidRPr="000F2330">
      <w:rPr>
        <w:rStyle w:val="PageNumber"/>
        <w:rFonts w:ascii="Arial" w:hAnsi="Arial" w:cs="Arial"/>
        <w:sz w:val="16"/>
        <w:szCs w:val="16"/>
      </w:rPr>
      <w:instrText xml:space="preserve"> NUMPAGES </w:instrText>
    </w:r>
    <w:r w:rsidRPr="000F2330">
      <w:rPr>
        <w:rStyle w:val="PageNumber"/>
        <w:rFonts w:ascii="Arial" w:hAnsi="Arial" w:cs="Arial"/>
        <w:sz w:val="16"/>
        <w:szCs w:val="16"/>
      </w:rPr>
      <w:fldChar w:fldCharType="separate"/>
    </w:r>
    <w:r w:rsidR="005539A1">
      <w:rPr>
        <w:rStyle w:val="PageNumber"/>
        <w:rFonts w:ascii="Arial" w:hAnsi="Arial" w:cs="Arial"/>
        <w:noProof/>
        <w:sz w:val="16"/>
        <w:szCs w:val="16"/>
      </w:rPr>
      <w:t>19</w:t>
    </w:r>
    <w:r w:rsidRPr="000F2330">
      <w:rPr>
        <w:rStyle w:val="PageNumber"/>
        <w:rFonts w:ascii="Arial" w:hAnsi="Arial" w:cs="Arial"/>
        <w:sz w:val="16"/>
        <w:szCs w:val="16"/>
      </w:rPr>
      <w:fldChar w:fldCharType="end"/>
    </w:r>
    <w:r w:rsidRPr="000F2330">
      <w:rPr>
        <w:rStyle w:val="PageNumber"/>
        <w:rFonts w:ascii="Arial" w:hAnsi="Arial" w:cs="Arial"/>
        <w:sz w:val="16"/>
        <w:szCs w:val="16"/>
      </w:rPr>
      <w:t xml:space="preserve">                                            </w:t>
    </w:r>
    <w:r w:rsidR="00EC688F">
      <w:rPr>
        <w:rStyle w:val="PageNumber"/>
        <w:rFonts w:ascii="Arial" w:hAnsi="Arial" w:cs="Arial"/>
        <w:sz w:val="16"/>
        <w:szCs w:val="16"/>
      </w:rPr>
      <w:t xml:space="preserve">                           </w:t>
    </w:r>
    <w:r w:rsidR="00EC688F">
      <w:rPr>
        <w:rStyle w:val="PageNumber"/>
        <w:rFonts w:ascii="Arial" w:hAnsi="Arial" w:cs="Arial"/>
        <w:sz w:val="16"/>
        <w:szCs w:val="16"/>
      </w:rPr>
      <w:tab/>
    </w:r>
    <w:r w:rsidR="00F6096A">
      <w:rPr>
        <w:rStyle w:val="PageNumber"/>
        <w:rFonts w:ascii="Arial" w:hAnsi="Arial" w:cs="Arial"/>
        <w:sz w:val="16"/>
        <w:szCs w:val="16"/>
      </w:rPr>
      <w:t>1/1</w:t>
    </w:r>
    <w:r w:rsidR="004F6D69">
      <w:rPr>
        <w:rStyle w:val="PageNumber"/>
        <w:rFonts w:ascii="Arial" w:hAnsi="Arial" w:cs="Arial"/>
        <w:sz w:val="16"/>
        <w:szCs w:val="16"/>
      </w:rPr>
      <w:t>5</w:t>
    </w:r>
    <w:r w:rsidR="00F6096A">
      <w:rPr>
        <w:rStyle w:val="PageNumber"/>
        <w:rFonts w:ascii="Arial" w:hAnsi="Arial" w:cs="Arial"/>
        <w:sz w:val="16"/>
        <w:szCs w:val="16"/>
      </w:rPr>
      <w:t>/</w:t>
    </w:r>
    <w:r w:rsidR="004F6D69">
      <w:rPr>
        <w:rStyle w:val="PageNumber"/>
        <w:rFonts w:ascii="Arial" w:hAnsi="Arial" w:cs="Arial"/>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427B" w14:textId="1D8EF646" w:rsidR="00236998" w:rsidRDefault="00236998" w:rsidP="00CA2715">
    <w:pPr>
      <w:autoSpaceDE w:val="0"/>
      <w:autoSpaceDN w:val="0"/>
      <w:adjustRightInd w:val="0"/>
      <w:jc w:val="center"/>
    </w:pPr>
    <w:r w:rsidRPr="006C465E">
      <w:rPr>
        <w:rFonts w:ascii="Calibri" w:hAnsi="Calibri" w:cs="Calibri"/>
        <w:sz w:val="24"/>
        <w:szCs w:val="24"/>
      </w:rPr>
      <w:t>This document was last updated</w:t>
    </w:r>
    <w:r>
      <w:rPr>
        <w:rFonts w:ascii="Calibri" w:hAnsi="Calibri" w:cs="Calibri"/>
        <w:sz w:val="24"/>
        <w:szCs w:val="24"/>
      </w:rPr>
      <w:t xml:space="preserve"> on</w:t>
    </w:r>
    <w:r w:rsidRPr="006C465E">
      <w:rPr>
        <w:rFonts w:ascii="Calibri" w:hAnsi="Calibri" w:cs="Calibri"/>
        <w:sz w:val="24"/>
        <w:szCs w:val="24"/>
      </w:rPr>
      <w:t xml:space="preserve"> </w:t>
    </w:r>
    <w:r w:rsidR="004F6D69">
      <w:rPr>
        <w:rFonts w:ascii="Calibri" w:hAnsi="Calibri" w:cs="Calibri"/>
        <w:b/>
        <w:i/>
        <w:szCs w:val="22"/>
      </w:rPr>
      <w:t>1/15/2020</w:t>
    </w:r>
    <w:r w:rsidRPr="006C465E">
      <w:rPr>
        <w:rFonts w:ascii="Calibri" w:hAnsi="Calibri" w:cs="Calibri"/>
        <w:b/>
        <w:i/>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E0B2" w14:textId="77777777" w:rsidR="00063868" w:rsidRDefault="00063868" w:rsidP="0056447B">
      <w:r>
        <w:separator/>
      </w:r>
    </w:p>
  </w:footnote>
  <w:footnote w:type="continuationSeparator" w:id="0">
    <w:p w14:paraId="2C6DB69B" w14:textId="77777777" w:rsidR="00063868" w:rsidRDefault="00063868" w:rsidP="0056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ADC9" w14:textId="77777777" w:rsidR="00236998" w:rsidRDefault="00236998" w:rsidP="003E74C0">
    <w:pPr>
      <w:pStyle w:val="Header"/>
      <w:jc w:val="right"/>
    </w:pPr>
    <w:r>
      <w:rPr>
        <w:noProof/>
      </w:rPr>
      <w:drawing>
        <wp:inline distT="0" distB="0" distL="0" distR="0" wp14:anchorId="77BCA6F1" wp14:editId="1B5D7007">
          <wp:extent cx="1553719" cy="555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S logo.jpg"/>
                  <pic:cNvPicPr/>
                </pic:nvPicPr>
                <pic:blipFill>
                  <a:blip r:embed="rId1">
                    <a:extLst>
                      <a:ext uri="{28A0092B-C50C-407E-A947-70E740481C1C}">
                        <a14:useLocalDpi xmlns:a14="http://schemas.microsoft.com/office/drawing/2010/main" val="0"/>
                      </a:ext>
                    </a:extLst>
                  </a:blip>
                  <a:stretch>
                    <a:fillRect/>
                  </a:stretch>
                </pic:blipFill>
                <pic:spPr>
                  <a:xfrm>
                    <a:off x="0" y="0"/>
                    <a:ext cx="1583587" cy="566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30"/>
    <w:multiLevelType w:val="hybridMultilevel"/>
    <w:tmpl w:val="4A68C4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0DF79F9"/>
    <w:multiLevelType w:val="hybridMultilevel"/>
    <w:tmpl w:val="A39C3FA4"/>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2C33"/>
    <w:multiLevelType w:val="hybridMultilevel"/>
    <w:tmpl w:val="A07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156"/>
    <w:multiLevelType w:val="hybridMultilevel"/>
    <w:tmpl w:val="F86A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D226F"/>
    <w:multiLevelType w:val="hybridMultilevel"/>
    <w:tmpl w:val="505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202E8"/>
    <w:multiLevelType w:val="hybridMultilevel"/>
    <w:tmpl w:val="5066BA3C"/>
    <w:lvl w:ilvl="0" w:tplc="F3500332">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D00D8"/>
    <w:multiLevelType w:val="hybridMultilevel"/>
    <w:tmpl w:val="2D16245E"/>
    <w:lvl w:ilvl="0" w:tplc="9210D4C2">
      <w:start w:val="1"/>
      <w:numFmt w:val="bullet"/>
      <w:lvlText w:val=""/>
      <w:lvlJc w:val="left"/>
      <w:pPr>
        <w:tabs>
          <w:tab w:val="num" w:pos="504"/>
        </w:tabs>
        <w:ind w:left="504" w:hanging="144"/>
      </w:pPr>
      <w:rPr>
        <w:rFonts w:ascii="Symbol" w:hAnsi="Symbol" w:hint="default"/>
      </w:rPr>
    </w:lvl>
    <w:lvl w:ilvl="1" w:tplc="2332999A">
      <w:start w:val="5"/>
      <w:numFmt w:val="decimal"/>
      <w:lvlText w:val="%2."/>
      <w:lvlJc w:val="left"/>
      <w:pPr>
        <w:tabs>
          <w:tab w:val="num" w:pos="720"/>
        </w:tabs>
        <w:ind w:left="720" w:hanging="72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1973C15"/>
    <w:multiLevelType w:val="hybridMultilevel"/>
    <w:tmpl w:val="16D2F026"/>
    <w:lvl w:ilvl="0" w:tplc="04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31EC5CA7"/>
    <w:multiLevelType w:val="multilevel"/>
    <w:tmpl w:val="20501DB2"/>
    <w:lvl w:ilvl="0">
      <w:start w:val="1"/>
      <w:numFmt w:val="decimal"/>
      <w:pStyle w:val="Heading1"/>
      <w:lvlText w:val="%1."/>
      <w:lvlJc w:val="left"/>
      <w:pPr>
        <w:tabs>
          <w:tab w:val="num" w:pos="1080"/>
        </w:tabs>
        <w:ind w:left="1080" w:hanging="1080"/>
      </w:pPr>
      <w:rPr>
        <w:rFonts w:ascii="Calibri" w:hAnsi="Calibri" w:cs="Calibri" w:hint="default"/>
        <w:b/>
        <w:i w:val="0"/>
        <w:sz w:val="34"/>
      </w:rPr>
    </w:lvl>
    <w:lvl w:ilvl="1">
      <w:start w:val="1"/>
      <w:numFmt w:val="decimal"/>
      <w:pStyle w:val="Heading2"/>
      <w:lvlText w:val="1.%2"/>
      <w:lvlJc w:val="left"/>
      <w:pPr>
        <w:tabs>
          <w:tab w:val="num" w:pos="1224"/>
        </w:tabs>
        <w:ind w:left="1224" w:hanging="504"/>
      </w:pPr>
      <w:rPr>
        <w:rFonts w:ascii="Calibri" w:hAnsi="Calibri" w:cs="Calibri" w:hint="default"/>
        <w:b/>
        <w:i w:val="0"/>
        <w:sz w:val="26"/>
        <w:szCs w:val="26"/>
      </w:rPr>
    </w:lvl>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 w:ilvl="4">
      <w:start w:val="1"/>
      <w:numFmt w:val="decimal"/>
      <w:lvlText w:val="%1.%2.%3.%4.%5"/>
      <w:lvlJc w:val="left"/>
      <w:pPr>
        <w:tabs>
          <w:tab w:val="num" w:pos="1440"/>
        </w:tabs>
        <w:ind w:left="1080" w:hanging="1080"/>
      </w:pPr>
      <w:rPr>
        <w:rFonts w:ascii="Times New Roman" w:hAnsi="Times New Roman" w:cs="Times New Roman" w:hint="default"/>
        <w:b/>
        <w:i w:val="0"/>
      </w:rPr>
    </w:lvl>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3F16DC8"/>
    <w:multiLevelType w:val="hybridMultilevel"/>
    <w:tmpl w:val="DA462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A572F"/>
    <w:multiLevelType w:val="hybridMultilevel"/>
    <w:tmpl w:val="ED846FB2"/>
    <w:lvl w:ilvl="0" w:tplc="F4F8882A">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91525D4"/>
    <w:multiLevelType w:val="hybridMultilevel"/>
    <w:tmpl w:val="AE7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1FAE"/>
    <w:multiLevelType w:val="hybridMultilevel"/>
    <w:tmpl w:val="04044DAC"/>
    <w:lvl w:ilvl="0" w:tplc="5DD653B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D393C"/>
    <w:multiLevelType w:val="hybridMultilevel"/>
    <w:tmpl w:val="DB40B9E0"/>
    <w:lvl w:ilvl="0" w:tplc="5DD653B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F3498"/>
    <w:multiLevelType w:val="multilevel"/>
    <w:tmpl w:val="D4427CB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89D72A5"/>
    <w:multiLevelType w:val="hybridMultilevel"/>
    <w:tmpl w:val="EECEE642"/>
    <w:lvl w:ilvl="0" w:tplc="F3500332">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E5C20"/>
    <w:multiLevelType w:val="hybridMultilevel"/>
    <w:tmpl w:val="01F676CC"/>
    <w:lvl w:ilvl="0" w:tplc="90DCC2A0">
      <w:start w:val="1"/>
      <w:numFmt w:val="bullet"/>
      <w:lvlText w:val=""/>
      <w:lvlJc w:val="left"/>
      <w:pPr>
        <w:tabs>
          <w:tab w:val="num" w:pos="360"/>
        </w:tabs>
        <w:ind w:left="36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D1EBB"/>
    <w:multiLevelType w:val="hybridMultilevel"/>
    <w:tmpl w:val="240A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23B92"/>
    <w:multiLevelType w:val="hybridMultilevel"/>
    <w:tmpl w:val="A39C3FA4"/>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D617F"/>
    <w:multiLevelType w:val="hybridMultilevel"/>
    <w:tmpl w:val="3168BE48"/>
    <w:lvl w:ilvl="0" w:tplc="256060F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A49EB"/>
    <w:multiLevelType w:val="hybridMultilevel"/>
    <w:tmpl w:val="F8C66FE4"/>
    <w:lvl w:ilvl="0" w:tplc="F3500332">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DD61B58"/>
    <w:multiLevelType w:val="hybridMultilevel"/>
    <w:tmpl w:val="039850F8"/>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C5A27"/>
    <w:multiLevelType w:val="hybridMultilevel"/>
    <w:tmpl w:val="8DD82508"/>
    <w:lvl w:ilvl="0" w:tplc="9210D4C2">
      <w:start w:val="1"/>
      <w:numFmt w:val="bullet"/>
      <w:lvlText w:val=""/>
      <w:lvlJc w:val="left"/>
      <w:pPr>
        <w:tabs>
          <w:tab w:val="num" w:pos="504"/>
        </w:tabs>
        <w:ind w:left="504" w:hanging="144"/>
      </w:pPr>
      <w:rPr>
        <w:rFonts w:ascii="Symbol" w:hAnsi="Symbol" w:hint="default"/>
      </w:rPr>
    </w:lvl>
    <w:lvl w:ilvl="1" w:tplc="2332999A">
      <w:start w:val="5"/>
      <w:numFmt w:val="decimal"/>
      <w:lvlText w:val="%2."/>
      <w:lvlJc w:val="left"/>
      <w:pPr>
        <w:tabs>
          <w:tab w:val="num" w:pos="720"/>
        </w:tabs>
        <w:ind w:left="720" w:hanging="72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EAF23C6"/>
    <w:multiLevelType w:val="hybridMultilevel"/>
    <w:tmpl w:val="5CEE76C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60C37210"/>
    <w:multiLevelType w:val="multilevel"/>
    <w:tmpl w:val="D14E36FE"/>
    <w:lvl w:ilvl="0">
      <w:start w:val="1"/>
      <w:numFmt w:val="decimal"/>
      <w:lvlText w:val="%1."/>
      <w:lvlJc w:val="left"/>
      <w:pPr>
        <w:ind w:left="840" w:hanging="720"/>
      </w:pPr>
      <w:rPr>
        <w:rFonts w:hint="default"/>
      </w:rPr>
    </w:lvl>
    <w:lvl w:ilvl="1">
      <w:start w:val="11"/>
      <w:numFmt w:val="decimal"/>
      <w:lvlText w:val="%2."/>
      <w:lvlJc w:val="left"/>
      <w:pPr>
        <w:ind w:left="840" w:hanging="720"/>
      </w:pPr>
      <w:rPr>
        <w:rFonts w:hint="default"/>
        <w:b/>
        <w:bCs/>
        <w:sz w:val="28"/>
        <w:szCs w:val="28"/>
      </w:rPr>
    </w:lvl>
    <w:lvl w:ilvl="2">
      <w:start w:val="11"/>
      <w:numFmt w:val="decimal"/>
      <w:lvlText w:val="%3.1"/>
      <w:lvlJc w:val="left"/>
      <w:pPr>
        <w:ind w:left="1200" w:hanging="1080"/>
      </w:pPr>
      <w:rPr>
        <w:rFonts w:hint="default"/>
        <w:b/>
        <w:bCs/>
        <w:i w:val="0"/>
        <w:iCs/>
        <w:spacing w:val="-1"/>
        <w:sz w:val="28"/>
        <w:szCs w:val="22"/>
      </w:rPr>
    </w:lvl>
    <w:lvl w:ilvl="3">
      <w:start w:val="1"/>
      <w:numFmt w:val="bullet"/>
      <w:lvlText w:val=""/>
      <w:lvlJc w:val="left"/>
      <w:pPr>
        <w:ind w:left="840" w:hanging="360"/>
      </w:pPr>
      <w:rPr>
        <w:rFonts w:ascii="Symbol" w:eastAsia="Symbol" w:hAnsi="Symbol" w:hint="default"/>
        <w:sz w:val="22"/>
        <w:szCs w:val="22"/>
      </w:rPr>
    </w:lvl>
    <w:lvl w:ilvl="4">
      <w:start w:val="1"/>
      <w:numFmt w:val="bullet"/>
      <w:lvlText w:val="•"/>
      <w:lvlJc w:val="left"/>
      <w:pPr>
        <w:ind w:left="3480" w:hanging="360"/>
      </w:pPr>
      <w:rPr>
        <w:rFonts w:hint="default"/>
      </w:rPr>
    </w:lvl>
    <w:lvl w:ilvl="5">
      <w:start w:val="1"/>
      <w:numFmt w:val="bullet"/>
      <w:lvlText w:val="•"/>
      <w:lvlJc w:val="left"/>
      <w:pPr>
        <w:ind w:left="4620"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8040" w:hanging="360"/>
      </w:pPr>
      <w:rPr>
        <w:rFonts w:hint="default"/>
      </w:rPr>
    </w:lvl>
  </w:abstractNum>
  <w:abstractNum w:abstractNumId="25" w15:restartNumberingAfterBreak="0">
    <w:nsid w:val="65956067"/>
    <w:multiLevelType w:val="hybridMultilevel"/>
    <w:tmpl w:val="1ADA6C50"/>
    <w:lvl w:ilvl="0" w:tplc="663476D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D54B0"/>
    <w:multiLevelType w:val="hybridMultilevel"/>
    <w:tmpl w:val="16D2F026"/>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EE51EFC"/>
    <w:multiLevelType w:val="hybridMultilevel"/>
    <w:tmpl w:val="A360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36DDB"/>
    <w:multiLevelType w:val="hybridMultilevel"/>
    <w:tmpl w:val="620E2D94"/>
    <w:lvl w:ilvl="0" w:tplc="05247D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27CAE"/>
    <w:multiLevelType w:val="hybridMultilevel"/>
    <w:tmpl w:val="5A26C0AE"/>
    <w:lvl w:ilvl="0" w:tplc="D69222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389A"/>
    <w:multiLevelType w:val="hybridMultilevel"/>
    <w:tmpl w:val="2232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65481"/>
    <w:multiLevelType w:val="hybridMultilevel"/>
    <w:tmpl w:val="2A6495D4"/>
    <w:lvl w:ilvl="0" w:tplc="9210D4C2">
      <w:start w:val="1"/>
      <w:numFmt w:val="bullet"/>
      <w:lvlText w:val=""/>
      <w:lvlJc w:val="left"/>
      <w:pPr>
        <w:tabs>
          <w:tab w:val="num" w:pos="504"/>
        </w:tabs>
        <w:ind w:left="504" w:hanging="144"/>
      </w:pPr>
      <w:rPr>
        <w:rFonts w:ascii="Symbol" w:hAnsi="Symbol" w:hint="default"/>
      </w:rPr>
    </w:lvl>
    <w:lvl w:ilvl="1" w:tplc="2332999A">
      <w:start w:val="5"/>
      <w:numFmt w:val="decimal"/>
      <w:lvlText w:val="%2."/>
      <w:lvlJc w:val="left"/>
      <w:pPr>
        <w:tabs>
          <w:tab w:val="num" w:pos="720"/>
        </w:tabs>
        <w:ind w:left="720" w:hanging="72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5"/>
    </w:lvlOverride>
    <w:lvlOverride w:ilvl="2"/>
    <w:lvlOverride w:ilvl="3"/>
    <w:lvlOverride w:ilvl="4"/>
    <w:lvlOverride w:ilvl="5"/>
    <w:lvlOverride w:ilvl="6"/>
    <w:lvlOverride w:ilvl="7"/>
    <w:lvlOverride w:ilvl="8"/>
  </w:num>
  <w:num w:numId="3">
    <w:abstractNumId w:val="8"/>
    <w:lvlOverride w:ilvl="0">
      <w:lvl w:ilvl="0">
        <w:start w:val="1"/>
        <w:numFmt w:val="decimal"/>
        <w:pStyle w:val="Heading1"/>
        <w:lvlText w:val="%1."/>
        <w:lvlJc w:val="left"/>
        <w:pPr>
          <w:tabs>
            <w:tab w:val="num" w:pos="1080"/>
          </w:tabs>
          <w:ind w:left="1080" w:hanging="1080"/>
        </w:pPr>
        <w:rPr>
          <w:rFonts w:ascii="Calibri" w:hAnsi="Calibri" w:cs="Calibri" w:hint="default"/>
          <w:b/>
          <w:i w:val="0"/>
          <w:sz w:val="34"/>
          <w:szCs w:val="34"/>
        </w:rPr>
      </w:lvl>
    </w:lvlOverride>
    <w:lvlOverride w:ilvl="1">
      <w:lvl w:ilvl="1">
        <w:start w:val="1"/>
        <w:numFmt w:val="decimal"/>
        <w:pStyle w:val="Heading2"/>
        <w:lvlText w:val="5.%2"/>
        <w:lvlJc w:val="left"/>
        <w:pPr>
          <w:tabs>
            <w:tab w:val="num" w:pos="1080"/>
          </w:tabs>
          <w:ind w:left="1080" w:hanging="504"/>
        </w:pPr>
        <w:rPr>
          <w:rFonts w:ascii="Calibri" w:hAnsi="Calibri" w:cs="Calibri" w:hint="default"/>
          <w:b/>
          <w:i w:val="0"/>
          <w:sz w:val="26"/>
          <w:szCs w:val="26"/>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31"/>
    <w:lvlOverride w:ilvl="0"/>
    <w:lvlOverride w:ilvl="1">
      <w:startOverride w:val="5"/>
    </w:lvlOverride>
    <w:lvlOverride w:ilvl="2"/>
    <w:lvlOverride w:ilvl="3"/>
    <w:lvlOverride w:ilvl="4"/>
    <w:lvlOverride w:ilvl="5"/>
    <w:lvlOverride w:ilvl="6"/>
    <w:lvlOverride w:ilvl="7"/>
    <w:lvlOverride w:ilvl="8"/>
  </w:num>
  <w:num w:numId="5">
    <w:abstractNumId w:val="8"/>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5.%2"/>
        <w:lvlJc w:val="left"/>
        <w:pPr>
          <w:tabs>
            <w:tab w:val="num" w:pos="1080"/>
          </w:tabs>
          <w:ind w:left="1080" w:hanging="504"/>
        </w:pPr>
        <w:rPr>
          <w:rFonts w:ascii="Calibri" w:hAnsi="Calibri" w:cs="Calibri" w:hint="default"/>
          <w:b/>
          <w:i w:val="0"/>
          <w:sz w:val="26"/>
          <w:szCs w:val="26"/>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22"/>
    <w:lvlOverride w:ilvl="0"/>
    <w:lvlOverride w:ilvl="1">
      <w:startOverride w:val="5"/>
    </w:lvlOverride>
    <w:lvlOverride w:ilvl="2"/>
    <w:lvlOverride w:ilvl="3"/>
    <w:lvlOverride w:ilvl="4"/>
    <w:lvlOverride w:ilvl="5"/>
    <w:lvlOverride w:ilvl="6"/>
    <w:lvlOverride w:ilvl="7"/>
    <w:lvlOverride w:ilvl="8"/>
  </w:num>
  <w:num w:numId="7">
    <w:abstractNumId w:val="8"/>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6.%2"/>
        <w:lvlJc w:val="left"/>
        <w:pPr>
          <w:tabs>
            <w:tab w:val="num" w:pos="1080"/>
          </w:tabs>
          <w:ind w:left="1080" w:hanging="504"/>
        </w:pPr>
        <w:rPr>
          <w:rFonts w:ascii="Calibri" w:hAnsi="Calibri" w:cs="Calibri" w:hint="default"/>
          <w:b/>
          <w:i w:val="0"/>
          <w:sz w:val="34"/>
          <w:szCs w:val="34"/>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8">
    <w:abstractNumId w:val="10"/>
  </w:num>
  <w:num w:numId="9">
    <w:abstractNumId w:val="8"/>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7.%2"/>
        <w:lvlJc w:val="left"/>
        <w:pPr>
          <w:tabs>
            <w:tab w:val="num" w:pos="1080"/>
          </w:tabs>
          <w:ind w:left="1080" w:hanging="504"/>
        </w:pPr>
        <w:rPr>
          <w:rFonts w:ascii="Calibri" w:hAnsi="Calibri" w:cs="Calibri" w:hint="default"/>
          <w:b/>
          <w:i w:val="0"/>
          <w:sz w:val="34"/>
          <w:szCs w:val="34"/>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0">
    <w:abstractNumId w:val="5"/>
  </w:num>
  <w:num w:numId="11">
    <w:abstractNumId w:val="1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0"/>
  </w:num>
  <w:num w:numId="17">
    <w:abstractNumId w:val="28"/>
  </w:num>
  <w:num w:numId="18">
    <w:abstractNumId w:val="16"/>
  </w:num>
  <w:num w:numId="19">
    <w:abstractNumId w:val="12"/>
  </w:num>
  <w:num w:numId="20">
    <w:abstractNumId w:val="8"/>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10.%2"/>
        <w:lvlJc w:val="left"/>
        <w:pPr>
          <w:tabs>
            <w:tab w:val="num" w:pos="1080"/>
          </w:tabs>
          <w:ind w:left="1080" w:hanging="504"/>
        </w:pPr>
        <w:rPr>
          <w:rFonts w:ascii="Calibri" w:hAnsi="Calibri" w:cs="Calibri" w:hint="default"/>
          <w:b/>
          <w:i w:val="0"/>
          <w:sz w:val="26"/>
          <w:szCs w:val="26"/>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1">
    <w:abstractNumId w:val="25"/>
  </w:num>
  <w:num w:numId="22">
    <w:abstractNumId w:val="7"/>
  </w:num>
  <w:num w:numId="23">
    <w:abstractNumId w:val="27"/>
  </w:num>
  <w:num w:numId="24">
    <w:abstractNumId w:val="2"/>
  </w:num>
  <w:num w:numId="25">
    <w:abstractNumId w:val="0"/>
  </w:num>
  <w:num w:numId="26">
    <w:abstractNumId w:val="23"/>
  </w:num>
  <w:num w:numId="27">
    <w:abstractNumId w:val="24"/>
  </w:num>
  <w:num w:numId="28">
    <w:abstractNumId w:val="14"/>
  </w:num>
  <w:num w:numId="29">
    <w:abstractNumId w:val="18"/>
  </w:num>
  <w:num w:numId="30">
    <w:abstractNumId w:val="29"/>
  </w:num>
  <w:num w:numId="31">
    <w:abstractNumId w:val="9"/>
  </w:num>
  <w:num w:numId="32">
    <w:abstractNumId w:val="21"/>
  </w:num>
  <w:num w:numId="33">
    <w:abstractNumId w:val="1"/>
  </w:num>
  <w:num w:numId="34">
    <w:abstractNumId w:val="17"/>
  </w:num>
  <w:num w:numId="35">
    <w:abstractNumId w:val="4"/>
  </w:num>
  <w:num w:numId="36">
    <w:abstractNumId w:val="30"/>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LcgwZ48yJCOnljZonCzGoADHPZBiJH2LJpY901OJ5FS8ISdKCV19ciIt2C36cMa0fhGUwGv5w4+lXypwuvtKw==" w:salt="9F+mWE6xMGeAEXQZcPVD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7B"/>
    <w:rsid w:val="0001252D"/>
    <w:rsid w:val="0001584A"/>
    <w:rsid w:val="0002768D"/>
    <w:rsid w:val="00032ACF"/>
    <w:rsid w:val="00045431"/>
    <w:rsid w:val="000467FD"/>
    <w:rsid w:val="00063868"/>
    <w:rsid w:val="00095C31"/>
    <w:rsid w:val="000A64E4"/>
    <w:rsid w:val="000B1A24"/>
    <w:rsid w:val="000C41D2"/>
    <w:rsid w:val="000C5C92"/>
    <w:rsid w:val="000D1073"/>
    <w:rsid w:val="000D1756"/>
    <w:rsid w:val="000D2D29"/>
    <w:rsid w:val="00114A44"/>
    <w:rsid w:val="0013294F"/>
    <w:rsid w:val="0016414F"/>
    <w:rsid w:val="00165FFF"/>
    <w:rsid w:val="00175D2D"/>
    <w:rsid w:val="00187836"/>
    <w:rsid w:val="00192159"/>
    <w:rsid w:val="001B4F24"/>
    <w:rsid w:val="001C1DBF"/>
    <w:rsid w:val="001E44BC"/>
    <w:rsid w:val="001F0B4E"/>
    <w:rsid w:val="001F799D"/>
    <w:rsid w:val="002328A9"/>
    <w:rsid w:val="00236998"/>
    <w:rsid w:val="00251156"/>
    <w:rsid w:val="00270422"/>
    <w:rsid w:val="00296168"/>
    <w:rsid w:val="002A22F9"/>
    <w:rsid w:val="002B3621"/>
    <w:rsid w:val="002D413B"/>
    <w:rsid w:val="002D4D11"/>
    <w:rsid w:val="002D59BA"/>
    <w:rsid w:val="002E599D"/>
    <w:rsid w:val="002E5CA8"/>
    <w:rsid w:val="002F31D1"/>
    <w:rsid w:val="002F4F6F"/>
    <w:rsid w:val="002F7261"/>
    <w:rsid w:val="002F7446"/>
    <w:rsid w:val="002F7BE5"/>
    <w:rsid w:val="00312C1F"/>
    <w:rsid w:val="00313EA8"/>
    <w:rsid w:val="00347733"/>
    <w:rsid w:val="00356CB6"/>
    <w:rsid w:val="00361881"/>
    <w:rsid w:val="00382E81"/>
    <w:rsid w:val="00390939"/>
    <w:rsid w:val="00396C50"/>
    <w:rsid w:val="003C22A9"/>
    <w:rsid w:val="003E1C33"/>
    <w:rsid w:val="003E74C0"/>
    <w:rsid w:val="003F1861"/>
    <w:rsid w:val="00416558"/>
    <w:rsid w:val="004300E4"/>
    <w:rsid w:val="00430718"/>
    <w:rsid w:val="00435AB8"/>
    <w:rsid w:val="00453D8A"/>
    <w:rsid w:val="00461E88"/>
    <w:rsid w:val="00472F1B"/>
    <w:rsid w:val="00472F5A"/>
    <w:rsid w:val="00483A85"/>
    <w:rsid w:val="00497A46"/>
    <w:rsid w:val="004B4609"/>
    <w:rsid w:val="004D3B6E"/>
    <w:rsid w:val="004D639A"/>
    <w:rsid w:val="004D6952"/>
    <w:rsid w:val="004F1B8A"/>
    <w:rsid w:val="004F6D69"/>
    <w:rsid w:val="0053120D"/>
    <w:rsid w:val="0054435F"/>
    <w:rsid w:val="00551F19"/>
    <w:rsid w:val="005539A1"/>
    <w:rsid w:val="0056231E"/>
    <w:rsid w:val="00562F76"/>
    <w:rsid w:val="0056447B"/>
    <w:rsid w:val="00566801"/>
    <w:rsid w:val="00570B76"/>
    <w:rsid w:val="00576E45"/>
    <w:rsid w:val="00583700"/>
    <w:rsid w:val="005A39BF"/>
    <w:rsid w:val="005B351B"/>
    <w:rsid w:val="005E334A"/>
    <w:rsid w:val="00600DBD"/>
    <w:rsid w:val="006078B1"/>
    <w:rsid w:val="006105B8"/>
    <w:rsid w:val="00612A2F"/>
    <w:rsid w:val="00617055"/>
    <w:rsid w:val="00621B90"/>
    <w:rsid w:val="006405FD"/>
    <w:rsid w:val="0067324A"/>
    <w:rsid w:val="00682895"/>
    <w:rsid w:val="00696276"/>
    <w:rsid w:val="006A1A91"/>
    <w:rsid w:val="006B3F19"/>
    <w:rsid w:val="006E48D4"/>
    <w:rsid w:val="00702571"/>
    <w:rsid w:val="00704076"/>
    <w:rsid w:val="00704B6C"/>
    <w:rsid w:val="00712309"/>
    <w:rsid w:val="00713B9C"/>
    <w:rsid w:val="007304DD"/>
    <w:rsid w:val="00754817"/>
    <w:rsid w:val="00771C27"/>
    <w:rsid w:val="0079618E"/>
    <w:rsid w:val="007C03D4"/>
    <w:rsid w:val="007D1CF4"/>
    <w:rsid w:val="007D2514"/>
    <w:rsid w:val="008043F6"/>
    <w:rsid w:val="00811CCD"/>
    <w:rsid w:val="00840B5A"/>
    <w:rsid w:val="00843566"/>
    <w:rsid w:val="00846779"/>
    <w:rsid w:val="00846F1B"/>
    <w:rsid w:val="00851680"/>
    <w:rsid w:val="008516D0"/>
    <w:rsid w:val="008534AD"/>
    <w:rsid w:val="00856B2D"/>
    <w:rsid w:val="00870D71"/>
    <w:rsid w:val="00875993"/>
    <w:rsid w:val="00895804"/>
    <w:rsid w:val="008A359C"/>
    <w:rsid w:val="008B1E53"/>
    <w:rsid w:val="008C0062"/>
    <w:rsid w:val="008C56DD"/>
    <w:rsid w:val="008D4155"/>
    <w:rsid w:val="008D5EDA"/>
    <w:rsid w:val="008E551E"/>
    <w:rsid w:val="00902172"/>
    <w:rsid w:val="00907201"/>
    <w:rsid w:val="0091226F"/>
    <w:rsid w:val="00923F15"/>
    <w:rsid w:val="009374B3"/>
    <w:rsid w:val="00947DC6"/>
    <w:rsid w:val="00950D29"/>
    <w:rsid w:val="009639FB"/>
    <w:rsid w:val="009801DC"/>
    <w:rsid w:val="00987540"/>
    <w:rsid w:val="009952AC"/>
    <w:rsid w:val="00996530"/>
    <w:rsid w:val="009B2435"/>
    <w:rsid w:val="009B7593"/>
    <w:rsid w:val="009C6947"/>
    <w:rsid w:val="009D3181"/>
    <w:rsid w:val="009D61DA"/>
    <w:rsid w:val="00A0192C"/>
    <w:rsid w:val="00A02B70"/>
    <w:rsid w:val="00A04AC3"/>
    <w:rsid w:val="00A11224"/>
    <w:rsid w:val="00A21E6D"/>
    <w:rsid w:val="00A3728D"/>
    <w:rsid w:val="00A66268"/>
    <w:rsid w:val="00A75CFF"/>
    <w:rsid w:val="00A9007B"/>
    <w:rsid w:val="00A929AF"/>
    <w:rsid w:val="00A9635C"/>
    <w:rsid w:val="00AF761E"/>
    <w:rsid w:val="00B04524"/>
    <w:rsid w:val="00B35E1F"/>
    <w:rsid w:val="00B46640"/>
    <w:rsid w:val="00B46EBB"/>
    <w:rsid w:val="00B50795"/>
    <w:rsid w:val="00B65E1F"/>
    <w:rsid w:val="00B904F1"/>
    <w:rsid w:val="00B91374"/>
    <w:rsid w:val="00BD512E"/>
    <w:rsid w:val="00BF4521"/>
    <w:rsid w:val="00C01E55"/>
    <w:rsid w:val="00C13527"/>
    <w:rsid w:val="00C1372C"/>
    <w:rsid w:val="00C322A7"/>
    <w:rsid w:val="00C603C6"/>
    <w:rsid w:val="00C76A1C"/>
    <w:rsid w:val="00CA0332"/>
    <w:rsid w:val="00CA2715"/>
    <w:rsid w:val="00CB79B7"/>
    <w:rsid w:val="00CC1F22"/>
    <w:rsid w:val="00CE3E37"/>
    <w:rsid w:val="00D02D0B"/>
    <w:rsid w:val="00D14DFF"/>
    <w:rsid w:val="00D3154A"/>
    <w:rsid w:val="00D53615"/>
    <w:rsid w:val="00D54A2E"/>
    <w:rsid w:val="00D669B4"/>
    <w:rsid w:val="00D764BE"/>
    <w:rsid w:val="00D80271"/>
    <w:rsid w:val="00D8397C"/>
    <w:rsid w:val="00D85C66"/>
    <w:rsid w:val="00D85F39"/>
    <w:rsid w:val="00D9508D"/>
    <w:rsid w:val="00DA0F44"/>
    <w:rsid w:val="00DB197D"/>
    <w:rsid w:val="00DC5213"/>
    <w:rsid w:val="00DD0941"/>
    <w:rsid w:val="00DD26CD"/>
    <w:rsid w:val="00E0169D"/>
    <w:rsid w:val="00E06A2A"/>
    <w:rsid w:val="00E111EE"/>
    <w:rsid w:val="00E20F51"/>
    <w:rsid w:val="00E21600"/>
    <w:rsid w:val="00E260DF"/>
    <w:rsid w:val="00E47D9E"/>
    <w:rsid w:val="00E812DF"/>
    <w:rsid w:val="00E95D4E"/>
    <w:rsid w:val="00EA02CC"/>
    <w:rsid w:val="00EC688F"/>
    <w:rsid w:val="00ED3C9E"/>
    <w:rsid w:val="00EE3060"/>
    <w:rsid w:val="00F00D4F"/>
    <w:rsid w:val="00F02697"/>
    <w:rsid w:val="00F20360"/>
    <w:rsid w:val="00F20EEC"/>
    <w:rsid w:val="00F21B66"/>
    <w:rsid w:val="00F3190D"/>
    <w:rsid w:val="00F335D7"/>
    <w:rsid w:val="00F526F3"/>
    <w:rsid w:val="00F6096A"/>
    <w:rsid w:val="00F6558E"/>
    <w:rsid w:val="00F70878"/>
    <w:rsid w:val="00F77FCE"/>
    <w:rsid w:val="00F8239E"/>
    <w:rsid w:val="00F85EA6"/>
    <w:rsid w:val="00F95C6F"/>
    <w:rsid w:val="00F974C6"/>
    <w:rsid w:val="00FA0DC8"/>
    <w:rsid w:val="00FB124F"/>
    <w:rsid w:val="00FC3A72"/>
    <w:rsid w:val="00FC6FD5"/>
    <w:rsid w:val="00FD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B2F11"/>
  <w15:chartTrackingRefBased/>
  <w15:docId w15:val="{364B03EC-836B-44DA-99ED-7FC4FE3A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47B"/>
    <w:pPr>
      <w:spacing w:after="0" w:line="240" w:lineRule="auto"/>
      <w:jc w:val="both"/>
    </w:pPr>
    <w:rPr>
      <w:rFonts w:ascii="Times New Roman" w:eastAsia="Times New Roman" w:hAnsi="Times New Roman" w:cs="Times New Roman"/>
      <w:szCs w:val="20"/>
    </w:rPr>
  </w:style>
  <w:style w:type="paragraph" w:styleId="Heading1">
    <w:name w:val="heading 1"/>
    <w:basedOn w:val="Normal"/>
    <w:next w:val="ParaText"/>
    <w:link w:val="Heading1Char"/>
    <w:qFormat/>
    <w:rsid w:val="0056447B"/>
    <w:pPr>
      <w:keepNext/>
      <w:numPr>
        <w:numId w:val="1"/>
      </w:numPr>
      <w:spacing w:after="240"/>
      <w:outlineLvl w:val="0"/>
    </w:pPr>
    <w:rPr>
      <w:b/>
      <w:kern w:val="28"/>
      <w:sz w:val="34"/>
    </w:rPr>
  </w:style>
  <w:style w:type="paragraph" w:styleId="Heading2">
    <w:name w:val="heading 2"/>
    <w:basedOn w:val="Normal"/>
    <w:next w:val="ParaText"/>
    <w:link w:val="Heading2Char"/>
    <w:unhideWhenUsed/>
    <w:qFormat/>
    <w:rsid w:val="0056447B"/>
    <w:pPr>
      <w:keepNext/>
      <w:numPr>
        <w:ilvl w:val="1"/>
        <w:numId w:val="1"/>
      </w:numPr>
      <w:spacing w:after="240"/>
      <w:outlineLvl w:val="1"/>
    </w:pPr>
    <w:rPr>
      <w:b/>
      <w:sz w:val="30"/>
    </w:rPr>
  </w:style>
  <w:style w:type="paragraph" w:styleId="Heading3">
    <w:name w:val="heading 3"/>
    <w:basedOn w:val="Normal"/>
    <w:next w:val="ParaText"/>
    <w:link w:val="Heading3Char"/>
    <w:unhideWhenUsed/>
    <w:qFormat/>
    <w:rsid w:val="0056447B"/>
    <w:pPr>
      <w:keepNext/>
      <w:numPr>
        <w:ilvl w:val="2"/>
        <w:numId w:val="1"/>
      </w:numPr>
      <w:spacing w:after="240"/>
      <w:outlineLvl w:val="2"/>
    </w:pPr>
    <w:rPr>
      <w:b/>
      <w:sz w:val="26"/>
    </w:rPr>
  </w:style>
  <w:style w:type="paragraph" w:styleId="Heading4">
    <w:name w:val="heading 4"/>
    <w:basedOn w:val="Normal"/>
    <w:next w:val="ParaText"/>
    <w:link w:val="Heading4Char"/>
    <w:semiHidden/>
    <w:unhideWhenUsed/>
    <w:qFormat/>
    <w:rsid w:val="0056447B"/>
    <w:pPr>
      <w:keepNext/>
      <w:numPr>
        <w:ilvl w:val="3"/>
        <w:numId w:val="1"/>
      </w:numPr>
      <w:spacing w:after="240"/>
      <w:outlineLvl w:val="3"/>
    </w:pPr>
    <w:rPr>
      <w:b/>
    </w:rPr>
  </w:style>
  <w:style w:type="paragraph" w:styleId="Heading5">
    <w:name w:val="heading 5"/>
    <w:basedOn w:val="Normal"/>
    <w:next w:val="ParaText"/>
    <w:link w:val="Heading5Char"/>
    <w:autoRedefine/>
    <w:unhideWhenUsed/>
    <w:qFormat/>
    <w:rsid w:val="00EE3060"/>
    <w:pPr>
      <w:keepNext/>
      <w:spacing w:before="240" w:after="120" w:line="290" w:lineRule="atLeast"/>
      <w:jc w:val="left"/>
      <w:outlineLvl w:val="4"/>
    </w:pPr>
    <w:rPr>
      <w:rFonts w:ascii="Calibri" w:hAnsi="Calibri" w:cs="Calibri"/>
      <w:b/>
      <w:color w:val="000000"/>
      <w:sz w:val="28"/>
      <w:szCs w:val="28"/>
    </w:rPr>
  </w:style>
  <w:style w:type="paragraph" w:styleId="Heading6">
    <w:name w:val="heading 6"/>
    <w:basedOn w:val="Normal"/>
    <w:next w:val="ParaText"/>
    <w:link w:val="Heading6Char"/>
    <w:semiHidden/>
    <w:unhideWhenUsed/>
    <w:qFormat/>
    <w:rsid w:val="0056447B"/>
    <w:pPr>
      <w:numPr>
        <w:ilvl w:val="5"/>
        <w:numId w:val="1"/>
      </w:numPr>
      <w:spacing w:after="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47B"/>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56447B"/>
    <w:rPr>
      <w:rFonts w:ascii="Times New Roman" w:eastAsia="Times New Roman" w:hAnsi="Times New Roman" w:cs="Times New Roman"/>
      <w:b/>
      <w:sz w:val="30"/>
      <w:szCs w:val="20"/>
    </w:rPr>
  </w:style>
  <w:style w:type="character" w:customStyle="1" w:styleId="Heading3Char">
    <w:name w:val="Heading 3 Char"/>
    <w:basedOn w:val="DefaultParagraphFont"/>
    <w:link w:val="Heading3"/>
    <w:rsid w:val="0056447B"/>
    <w:rPr>
      <w:rFonts w:ascii="Times New Roman" w:eastAsia="Times New Roman" w:hAnsi="Times New Roman" w:cs="Times New Roman"/>
      <w:b/>
      <w:sz w:val="26"/>
      <w:szCs w:val="20"/>
    </w:rPr>
  </w:style>
  <w:style w:type="character" w:customStyle="1" w:styleId="Heading4Char">
    <w:name w:val="Heading 4 Char"/>
    <w:basedOn w:val="DefaultParagraphFont"/>
    <w:link w:val="Heading4"/>
    <w:semiHidden/>
    <w:rsid w:val="0056447B"/>
    <w:rPr>
      <w:rFonts w:ascii="Times New Roman" w:eastAsia="Times New Roman" w:hAnsi="Times New Roman" w:cs="Times New Roman"/>
      <w:b/>
      <w:szCs w:val="20"/>
    </w:rPr>
  </w:style>
  <w:style w:type="character" w:customStyle="1" w:styleId="Heading5Char">
    <w:name w:val="Heading 5 Char"/>
    <w:basedOn w:val="DefaultParagraphFont"/>
    <w:link w:val="Heading5"/>
    <w:rsid w:val="00EE3060"/>
    <w:rPr>
      <w:rFonts w:ascii="Calibri" w:eastAsia="Times New Roman" w:hAnsi="Calibri" w:cs="Calibri"/>
      <w:b/>
      <w:color w:val="000000"/>
      <w:sz w:val="28"/>
      <w:szCs w:val="28"/>
    </w:rPr>
  </w:style>
  <w:style w:type="character" w:customStyle="1" w:styleId="Heading6Char">
    <w:name w:val="Heading 6 Char"/>
    <w:basedOn w:val="DefaultParagraphFont"/>
    <w:link w:val="Heading6"/>
    <w:semiHidden/>
    <w:rsid w:val="0056447B"/>
    <w:rPr>
      <w:rFonts w:ascii="Times New Roman" w:eastAsia="Times New Roman" w:hAnsi="Times New Roman" w:cs="Times New Roman"/>
      <w:b/>
      <w:szCs w:val="20"/>
    </w:rPr>
  </w:style>
  <w:style w:type="character" w:styleId="Hyperlink">
    <w:name w:val="Hyperlink"/>
    <w:uiPriority w:val="99"/>
    <w:unhideWhenUsed/>
    <w:rsid w:val="0056447B"/>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56447B"/>
    <w:pPr>
      <w:tabs>
        <w:tab w:val="left" w:pos="432"/>
        <w:tab w:val="right" w:leader="dot" w:pos="9360"/>
      </w:tabs>
      <w:ind w:left="432" w:hanging="432"/>
    </w:pPr>
    <w:rPr>
      <w:rFonts w:cs="Arial"/>
      <w:noProof/>
    </w:rPr>
  </w:style>
  <w:style w:type="paragraph" w:styleId="TOC2">
    <w:name w:val="toc 2"/>
    <w:basedOn w:val="Normal"/>
    <w:next w:val="Normal"/>
    <w:autoRedefine/>
    <w:uiPriority w:val="39"/>
    <w:unhideWhenUsed/>
    <w:rsid w:val="0056447B"/>
    <w:pPr>
      <w:tabs>
        <w:tab w:val="left" w:pos="1008"/>
        <w:tab w:val="right" w:leader="dot" w:pos="9360"/>
      </w:tabs>
      <w:ind w:left="1440" w:hanging="1008"/>
    </w:pPr>
    <w:rPr>
      <w:noProof/>
    </w:rPr>
  </w:style>
  <w:style w:type="paragraph" w:customStyle="1" w:styleId="ParaText">
    <w:name w:val="ParaText"/>
    <w:basedOn w:val="Normal"/>
    <w:rsid w:val="0056447B"/>
    <w:pPr>
      <w:spacing w:after="240" w:line="300" w:lineRule="auto"/>
    </w:pPr>
  </w:style>
  <w:style w:type="paragraph" w:styleId="NormalWeb">
    <w:name w:val="Normal (Web)"/>
    <w:basedOn w:val="Normal"/>
    <w:semiHidden/>
    <w:unhideWhenUsed/>
    <w:rsid w:val="0056447B"/>
    <w:pPr>
      <w:spacing w:before="100" w:beforeAutospacing="1" w:after="100" w:afterAutospacing="1"/>
      <w:jc w:val="left"/>
    </w:pPr>
    <w:rPr>
      <w:rFonts w:ascii="Arial Unicode MS" w:eastAsia="Arial Unicode MS" w:hAnsi="Arial Unicode MS" w:cs="Arial Unicode MS"/>
      <w:sz w:val="24"/>
      <w:szCs w:val="24"/>
    </w:rPr>
  </w:style>
  <w:style w:type="paragraph" w:customStyle="1" w:styleId="Bullet">
    <w:name w:val="Bullet"/>
    <w:basedOn w:val="Normal"/>
    <w:rsid w:val="0056447B"/>
    <w:pPr>
      <w:spacing w:after="120" w:line="290" w:lineRule="atLeast"/>
      <w:ind w:left="720" w:hanging="360"/>
      <w:jc w:val="left"/>
    </w:pPr>
    <w:rPr>
      <w:sz w:val="24"/>
      <w:szCs w:val="24"/>
      <w:lang w:bidi="he-IL"/>
    </w:rPr>
  </w:style>
  <w:style w:type="paragraph" w:customStyle="1" w:styleId="Default">
    <w:name w:val="Default"/>
    <w:rsid w:val="0056447B"/>
    <w:pPr>
      <w:autoSpaceDE w:val="0"/>
      <w:autoSpaceDN w:val="0"/>
      <w:adjustRightInd w:val="0"/>
      <w:spacing w:after="0" w:line="240" w:lineRule="auto"/>
    </w:pPr>
    <w:rPr>
      <w:rFonts w:ascii="Tahoma" w:eastAsia="Times New Roman" w:hAnsi="Tahoma" w:cs="Tahoma"/>
      <w:color w:val="000000"/>
      <w:sz w:val="24"/>
      <w:szCs w:val="24"/>
    </w:rPr>
  </w:style>
  <w:style w:type="character" w:styleId="FootnoteReference">
    <w:name w:val="footnote reference"/>
    <w:semiHidden/>
    <w:unhideWhenUsed/>
    <w:rsid w:val="0056447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6447B"/>
    <w:rPr>
      <w:rFonts w:ascii="Tahoma" w:hAnsi="Tahoma" w:cs="Tahoma"/>
      <w:sz w:val="16"/>
      <w:szCs w:val="16"/>
    </w:rPr>
  </w:style>
  <w:style w:type="character" w:customStyle="1" w:styleId="BalloonTextChar">
    <w:name w:val="Balloon Text Char"/>
    <w:basedOn w:val="DefaultParagraphFont"/>
    <w:link w:val="BalloonText"/>
    <w:uiPriority w:val="99"/>
    <w:semiHidden/>
    <w:rsid w:val="0056447B"/>
    <w:rPr>
      <w:rFonts w:ascii="Tahoma" w:eastAsia="Times New Roman" w:hAnsi="Tahoma" w:cs="Tahoma"/>
      <w:sz w:val="16"/>
      <w:szCs w:val="16"/>
    </w:rPr>
  </w:style>
  <w:style w:type="paragraph" w:styleId="Header">
    <w:name w:val="header"/>
    <w:basedOn w:val="Normal"/>
    <w:link w:val="HeaderChar"/>
    <w:uiPriority w:val="99"/>
    <w:unhideWhenUsed/>
    <w:rsid w:val="0056447B"/>
    <w:pPr>
      <w:tabs>
        <w:tab w:val="center" w:pos="4680"/>
        <w:tab w:val="right" w:pos="9360"/>
      </w:tabs>
    </w:pPr>
  </w:style>
  <w:style w:type="character" w:customStyle="1" w:styleId="HeaderChar">
    <w:name w:val="Header Char"/>
    <w:basedOn w:val="DefaultParagraphFont"/>
    <w:link w:val="Header"/>
    <w:uiPriority w:val="99"/>
    <w:rsid w:val="0056447B"/>
    <w:rPr>
      <w:rFonts w:ascii="Times New Roman" w:eastAsia="Times New Roman" w:hAnsi="Times New Roman" w:cs="Times New Roman"/>
      <w:szCs w:val="20"/>
    </w:rPr>
  </w:style>
  <w:style w:type="paragraph" w:styleId="Footer">
    <w:name w:val="footer"/>
    <w:basedOn w:val="Normal"/>
    <w:link w:val="FooterChar"/>
    <w:uiPriority w:val="99"/>
    <w:unhideWhenUsed/>
    <w:rsid w:val="0056447B"/>
    <w:pPr>
      <w:tabs>
        <w:tab w:val="center" w:pos="4680"/>
        <w:tab w:val="right" w:pos="9360"/>
      </w:tabs>
    </w:pPr>
  </w:style>
  <w:style w:type="character" w:customStyle="1" w:styleId="FooterChar">
    <w:name w:val="Footer Char"/>
    <w:basedOn w:val="DefaultParagraphFont"/>
    <w:link w:val="Footer"/>
    <w:uiPriority w:val="99"/>
    <w:rsid w:val="0056447B"/>
    <w:rPr>
      <w:rFonts w:ascii="Times New Roman" w:eastAsia="Times New Roman" w:hAnsi="Times New Roman" w:cs="Times New Roman"/>
      <w:szCs w:val="20"/>
    </w:rPr>
  </w:style>
  <w:style w:type="character" w:styleId="PageNumber">
    <w:name w:val="page number"/>
    <w:rsid w:val="0056447B"/>
    <w:rPr>
      <w:rFonts w:cs="Times New Roman"/>
    </w:rPr>
  </w:style>
  <w:style w:type="table" w:styleId="TableGrid">
    <w:name w:val="Table Grid"/>
    <w:basedOn w:val="TableNormal"/>
    <w:uiPriority w:val="59"/>
    <w:rsid w:val="0056447B"/>
    <w:pPr>
      <w:spacing w:after="0" w:line="240" w:lineRule="auto"/>
    </w:pPr>
    <w:rPr>
      <w:rFonts w:ascii="Calibri" w:eastAsia="SimSun"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6447B"/>
    <w:rPr>
      <w:sz w:val="16"/>
      <w:szCs w:val="16"/>
    </w:rPr>
  </w:style>
  <w:style w:type="paragraph" w:styleId="CommentText">
    <w:name w:val="annotation text"/>
    <w:basedOn w:val="Normal"/>
    <w:link w:val="CommentTextChar"/>
    <w:uiPriority w:val="99"/>
    <w:semiHidden/>
    <w:unhideWhenUsed/>
    <w:rsid w:val="0056447B"/>
    <w:rPr>
      <w:sz w:val="20"/>
    </w:rPr>
  </w:style>
  <w:style w:type="character" w:customStyle="1" w:styleId="CommentTextChar">
    <w:name w:val="Comment Text Char"/>
    <w:basedOn w:val="DefaultParagraphFont"/>
    <w:link w:val="CommentText"/>
    <w:uiPriority w:val="99"/>
    <w:semiHidden/>
    <w:rsid w:val="005644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47B"/>
    <w:rPr>
      <w:b/>
      <w:bCs/>
    </w:rPr>
  </w:style>
  <w:style w:type="character" w:customStyle="1" w:styleId="CommentSubjectChar">
    <w:name w:val="Comment Subject Char"/>
    <w:basedOn w:val="CommentTextChar"/>
    <w:link w:val="CommentSubject"/>
    <w:uiPriority w:val="99"/>
    <w:semiHidden/>
    <w:rsid w:val="0056447B"/>
    <w:rPr>
      <w:rFonts w:ascii="Times New Roman" w:eastAsia="Times New Roman" w:hAnsi="Times New Roman" w:cs="Times New Roman"/>
      <w:b/>
      <w:bCs/>
      <w:sz w:val="20"/>
      <w:szCs w:val="20"/>
    </w:rPr>
  </w:style>
  <w:style w:type="paragraph" w:styleId="ListParagraph">
    <w:name w:val="List Paragraph"/>
    <w:basedOn w:val="Normal"/>
    <w:uiPriority w:val="1"/>
    <w:qFormat/>
    <w:rsid w:val="0056447B"/>
    <w:pPr>
      <w:widowControl w:val="0"/>
      <w:jc w:val="left"/>
    </w:pPr>
    <w:rPr>
      <w:rFonts w:asciiTheme="minorHAnsi" w:eastAsiaTheme="minorHAnsi" w:hAnsiTheme="minorHAnsi" w:cstheme="minorBidi"/>
      <w:szCs w:val="22"/>
    </w:rPr>
  </w:style>
  <w:style w:type="character" w:customStyle="1" w:styleId="Mention1">
    <w:name w:val="Mention1"/>
    <w:basedOn w:val="DefaultParagraphFont"/>
    <w:uiPriority w:val="99"/>
    <w:semiHidden/>
    <w:unhideWhenUsed/>
    <w:rsid w:val="0056447B"/>
    <w:rPr>
      <w:color w:val="2B579A"/>
      <w:shd w:val="clear" w:color="auto" w:fill="E6E6E6"/>
    </w:rPr>
  </w:style>
  <w:style w:type="paragraph" w:styleId="Revision">
    <w:name w:val="Revision"/>
    <w:hidden/>
    <w:uiPriority w:val="99"/>
    <w:semiHidden/>
    <w:rsid w:val="0056447B"/>
    <w:pPr>
      <w:spacing w:after="0" w:line="240" w:lineRule="auto"/>
    </w:pPr>
    <w:rPr>
      <w:rFonts w:ascii="Times New Roman" w:eastAsia="Times New Roman" w:hAnsi="Times New Roman" w:cs="Times New Roman"/>
      <w:szCs w:val="20"/>
    </w:rPr>
  </w:style>
  <w:style w:type="paragraph" w:styleId="TOC3">
    <w:name w:val="toc 3"/>
    <w:basedOn w:val="Normal"/>
    <w:next w:val="Normal"/>
    <w:autoRedefine/>
    <w:uiPriority w:val="39"/>
    <w:unhideWhenUsed/>
    <w:rsid w:val="0056447B"/>
    <w:pPr>
      <w:spacing w:after="100"/>
      <w:ind w:left="440"/>
    </w:pPr>
  </w:style>
  <w:style w:type="character" w:customStyle="1" w:styleId="Mention2">
    <w:name w:val="Mention2"/>
    <w:basedOn w:val="DefaultParagraphFont"/>
    <w:uiPriority w:val="99"/>
    <w:semiHidden/>
    <w:unhideWhenUsed/>
    <w:rsid w:val="0056447B"/>
    <w:rPr>
      <w:color w:val="2B579A"/>
      <w:shd w:val="clear" w:color="auto" w:fill="E6E6E6"/>
    </w:rPr>
  </w:style>
  <w:style w:type="paragraph" w:styleId="TOCHeading">
    <w:name w:val="TOC Heading"/>
    <w:basedOn w:val="Heading1"/>
    <w:next w:val="Normal"/>
    <w:uiPriority w:val="39"/>
    <w:unhideWhenUsed/>
    <w:qFormat/>
    <w:rsid w:val="002B3621"/>
    <w:pPr>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Mention3">
    <w:name w:val="Mention3"/>
    <w:basedOn w:val="DefaultParagraphFont"/>
    <w:uiPriority w:val="99"/>
    <w:semiHidden/>
    <w:unhideWhenUsed/>
    <w:rsid w:val="00356CB6"/>
    <w:rPr>
      <w:color w:val="2B579A"/>
      <w:shd w:val="clear" w:color="auto" w:fill="E6E6E6"/>
    </w:rPr>
  </w:style>
  <w:style w:type="paragraph" w:customStyle="1" w:styleId="CM17">
    <w:name w:val="CM17"/>
    <w:basedOn w:val="Default"/>
    <w:next w:val="Default"/>
    <w:uiPriority w:val="99"/>
    <w:rsid w:val="00583700"/>
    <w:pPr>
      <w:widowControl w:val="0"/>
    </w:pPr>
    <w:rPr>
      <w:rFonts w:ascii="Arial Narrow" w:eastAsiaTheme="minorEastAsia" w:hAnsi="Arial Narrow"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ridirectory.org"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1.vsdx"/><Relationship Id="rId7" Type="http://schemas.openxmlformats.org/officeDocument/2006/relationships/endnotes" Target="endnotes.xml"/><Relationship Id="rId12" Type="http://schemas.openxmlformats.org/officeDocument/2006/relationships/hyperlink" Target="http://www.ahridirectory.org" TargetMode="External"/><Relationship Id="rId17" Type="http://schemas.openxmlformats.org/officeDocument/2006/relationships/hyperlink" Target="mailto:ces@uesa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s@uesaz.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ugea\AppData\Local\Microsoft\Windows\Temporary%20Internet%20Files\Content.Outlook\2KSTVMV5\www.ahridirectory.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escommercialenergysolutions.com/" TargetMode="External"/><Relationship Id="rId23" Type="http://schemas.openxmlformats.org/officeDocument/2006/relationships/footer" Target="footer1.xml"/><Relationship Id="rId10" Type="http://schemas.openxmlformats.org/officeDocument/2006/relationships/hyperlink" Target="http://www.uescommercialenergysolutions.com" TargetMode="Externa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yperlink" Target="http://www.uescommercialenergysolutions.com" TargetMode="External"/><Relationship Id="rId14" Type="http://schemas.openxmlformats.org/officeDocument/2006/relationships/hyperlink" Target="http://www.uescommercialenergysolution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B32B-6C41-4EC7-9783-8298ED0E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5410</Words>
  <Characters>30840</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 Christina B</dc:creator>
  <cp:keywords/>
  <dc:description/>
  <cp:lastModifiedBy>Koon, Christina B</cp:lastModifiedBy>
  <cp:revision>3</cp:revision>
  <dcterms:created xsi:type="dcterms:W3CDTF">2020-02-25T17:44:00Z</dcterms:created>
  <dcterms:modified xsi:type="dcterms:W3CDTF">2020-02-25T17:44:00Z</dcterms:modified>
</cp:coreProperties>
</file>