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602BB" w14:textId="0F7FB1B3" w:rsidR="005569C9" w:rsidRDefault="005569C9" w:rsidP="005569C9">
      <w:pPr>
        <w:pStyle w:val="Default"/>
        <w:spacing w:line="360" w:lineRule="auto"/>
        <w:rPr>
          <w:b/>
          <w:bCs/>
          <w:i/>
          <w:iCs/>
          <w:sz w:val="40"/>
          <w:szCs w:val="40"/>
        </w:rPr>
      </w:pPr>
    </w:p>
    <w:p w14:paraId="6F836F96" w14:textId="4253E62F" w:rsidR="005569C9" w:rsidRDefault="005569C9" w:rsidP="005569C9">
      <w:pPr>
        <w:pStyle w:val="Default"/>
        <w:spacing w:line="360" w:lineRule="auto"/>
        <w:rPr>
          <w:b/>
          <w:bCs/>
          <w:i/>
          <w:iCs/>
          <w:sz w:val="40"/>
          <w:szCs w:val="40"/>
        </w:rPr>
      </w:pPr>
    </w:p>
    <w:p w14:paraId="205CBB6A" w14:textId="30D0CDCF" w:rsidR="005569C9" w:rsidRDefault="00262154" w:rsidP="005569C9">
      <w:pPr>
        <w:pStyle w:val="Default"/>
        <w:spacing w:line="360" w:lineRule="auto"/>
        <w:rPr>
          <w:b/>
          <w:bCs/>
          <w:i/>
          <w:iCs/>
          <w:sz w:val="40"/>
          <w:szCs w:val="40"/>
        </w:rPr>
      </w:pPr>
      <w:r w:rsidRPr="00A63245">
        <w:rPr>
          <w:b/>
          <w:bCs/>
          <w:noProof/>
          <w:sz w:val="48"/>
          <w:szCs w:val="48"/>
          <w:lang w:eastAsia="en-US"/>
        </w:rPr>
        <w:drawing>
          <wp:anchor distT="0" distB="0" distL="114300" distR="114300" simplePos="0" relativeHeight="251659264" behindDoc="0" locked="0" layoutInCell="1" allowOverlap="1" wp14:anchorId="0EAD2159" wp14:editId="3AFAE86D">
            <wp:simplePos x="0" y="0"/>
            <wp:positionH relativeFrom="column">
              <wp:posOffset>2143760</wp:posOffset>
            </wp:positionH>
            <wp:positionV relativeFrom="paragraph">
              <wp:posOffset>107950</wp:posOffset>
            </wp:positionV>
            <wp:extent cx="2085975" cy="791845"/>
            <wp:effectExtent l="0" t="0" r="9525"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5975" cy="7918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8E96F8" w14:textId="77777777" w:rsidR="005569C9" w:rsidRDefault="005569C9" w:rsidP="005569C9">
      <w:pPr>
        <w:pStyle w:val="Default"/>
        <w:spacing w:line="360" w:lineRule="auto"/>
        <w:rPr>
          <w:b/>
          <w:bCs/>
          <w:i/>
          <w:iCs/>
          <w:sz w:val="40"/>
          <w:szCs w:val="40"/>
        </w:rPr>
      </w:pPr>
    </w:p>
    <w:p w14:paraId="19426A2F" w14:textId="77777777" w:rsidR="005569C9" w:rsidRDefault="005569C9" w:rsidP="005569C9">
      <w:pPr>
        <w:pStyle w:val="Default"/>
        <w:spacing w:line="360" w:lineRule="auto"/>
        <w:rPr>
          <w:b/>
          <w:bCs/>
          <w:i/>
          <w:iCs/>
          <w:sz w:val="40"/>
          <w:szCs w:val="40"/>
        </w:rPr>
      </w:pPr>
    </w:p>
    <w:p w14:paraId="23F0487F" w14:textId="77777777" w:rsidR="005569C9" w:rsidRDefault="005569C9" w:rsidP="005569C9">
      <w:pPr>
        <w:pStyle w:val="Default"/>
        <w:spacing w:line="360" w:lineRule="auto"/>
        <w:rPr>
          <w:b/>
          <w:bCs/>
          <w:i/>
          <w:iCs/>
          <w:sz w:val="40"/>
          <w:szCs w:val="40"/>
        </w:rPr>
      </w:pPr>
    </w:p>
    <w:p w14:paraId="5419E52F" w14:textId="77777777" w:rsidR="005569C9" w:rsidRPr="00052A8A" w:rsidRDefault="005569C9" w:rsidP="005569C9">
      <w:pPr>
        <w:pStyle w:val="Default"/>
        <w:spacing w:line="360" w:lineRule="auto"/>
        <w:jc w:val="center"/>
        <w:rPr>
          <w:b/>
          <w:bCs/>
          <w:iCs/>
          <w:sz w:val="80"/>
          <w:szCs w:val="80"/>
        </w:rPr>
      </w:pPr>
      <w:r w:rsidRPr="00052A8A">
        <w:rPr>
          <w:b/>
          <w:bCs/>
          <w:iCs/>
          <w:sz w:val="80"/>
          <w:szCs w:val="80"/>
        </w:rPr>
        <w:t>Tucson Electric Power</w:t>
      </w:r>
    </w:p>
    <w:p w14:paraId="007A2CFF" w14:textId="77777777" w:rsidR="005569C9" w:rsidRPr="00052A8A" w:rsidRDefault="005569C9" w:rsidP="005569C9">
      <w:pPr>
        <w:pStyle w:val="Default"/>
        <w:jc w:val="center"/>
        <w:rPr>
          <w:b/>
          <w:bCs/>
          <w:iCs/>
          <w:sz w:val="52"/>
          <w:szCs w:val="52"/>
        </w:rPr>
      </w:pPr>
      <w:r w:rsidRPr="00052A8A">
        <w:rPr>
          <w:b/>
          <w:bCs/>
          <w:iCs/>
          <w:sz w:val="52"/>
          <w:szCs w:val="52"/>
        </w:rPr>
        <w:t>Commercial Energy Solutions</w:t>
      </w:r>
    </w:p>
    <w:p w14:paraId="6A1CDBD8" w14:textId="1FEE671E" w:rsidR="005569C9" w:rsidRPr="00052A8A" w:rsidRDefault="00507DD7" w:rsidP="005569C9">
      <w:pPr>
        <w:pStyle w:val="Default"/>
        <w:jc w:val="center"/>
        <w:rPr>
          <w:b/>
          <w:bCs/>
          <w:iCs/>
          <w:sz w:val="52"/>
          <w:szCs w:val="52"/>
        </w:rPr>
      </w:pPr>
      <w:r w:rsidRPr="00052A8A">
        <w:rPr>
          <w:b/>
          <w:bCs/>
          <w:iCs/>
          <w:sz w:val="52"/>
          <w:szCs w:val="52"/>
        </w:rPr>
        <w:t>20</w:t>
      </w:r>
      <w:r>
        <w:rPr>
          <w:b/>
          <w:bCs/>
          <w:iCs/>
          <w:sz w:val="52"/>
          <w:szCs w:val="52"/>
        </w:rPr>
        <w:t>22</w:t>
      </w:r>
      <w:r w:rsidRPr="00052A8A">
        <w:rPr>
          <w:b/>
          <w:bCs/>
          <w:iCs/>
          <w:sz w:val="52"/>
          <w:szCs w:val="52"/>
        </w:rPr>
        <w:t xml:space="preserve"> </w:t>
      </w:r>
      <w:r w:rsidR="005569C9" w:rsidRPr="00052A8A">
        <w:rPr>
          <w:b/>
          <w:bCs/>
          <w:iCs/>
          <w:sz w:val="52"/>
          <w:szCs w:val="52"/>
        </w:rPr>
        <w:t>EasySave Program</w:t>
      </w:r>
    </w:p>
    <w:p w14:paraId="702AE9EC" w14:textId="77777777" w:rsidR="0002667E" w:rsidRPr="00052A8A" w:rsidRDefault="0002667E" w:rsidP="0002667E">
      <w:pPr>
        <w:pStyle w:val="Default"/>
        <w:jc w:val="center"/>
        <w:rPr>
          <w:b/>
          <w:bCs/>
          <w:iCs/>
          <w:sz w:val="52"/>
          <w:szCs w:val="52"/>
        </w:rPr>
      </w:pPr>
      <w:r w:rsidRPr="00052A8A">
        <w:rPr>
          <w:b/>
          <w:bCs/>
          <w:iCs/>
          <w:sz w:val="52"/>
          <w:szCs w:val="52"/>
        </w:rPr>
        <w:t>Policies and Procedures</w:t>
      </w:r>
    </w:p>
    <w:p w14:paraId="395D0316" w14:textId="77777777" w:rsidR="0002667E" w:rsidRPr="000F5427" w:rsidRDefault="0002667E" w:rsidP="005569C9">
      <w:pPr>
        <w:pStyle w:val="Default"/>
        <w:jc w:val="center"/>
        <w:rPr>
          <w:b/>
          <w:bCs/>
          <w:i/>
          <w:iCs/>
          <w:sz w:val="52"/>
          <w:szCs w:val="52"/>
        </w:rPr>
      </w:pPr>
    </w:p>
    <w:p w14:paraId="404C42AD" w14:textId="77777777" w:rsidR="005569C9" w:rsidRDefault="005569C9" w:rsidP="005569C9">
      <w:pPr>
        <w:pStyle w:val="Default"/>
        <w:spacing w:line="360" w:lineRule="auto"/>
        <w:rPr>
          <w:b/>
          <w:bCs/>
          <w:i/>
          <w:iCs/>
          <w:sz w:val="40"/>
          <w:szCs w:val="40"/>
        </w:rPr>
      </w:pPr>
    </w:p>
    <w:p w14:paraId="48A6BEF7" w14:textId="77777777" w:rsidR="005569C9" w:rsidRDefault="005569C9" w:rsidP="005569C9">
      <w:pPr>
        <w:pStyle w:val="Default"/>
        <w:spacing w:line="360" w:lineRule="auto"/>
        <w:rPr>
          <w:b/>
          <w:bCs/>
          <w:i/>
          <w:iCs/>
          <w:sz w:val="40"/>
          <w:szCs w:val="40"/>
        </w:rPr>
      </w:pPr>
    </w:p>
    <w:p w14:paraId="3FF8D496" w14:textId="77777777" w:rsidR="005569C9" w:rsidRDefault="005569C9" w:rsidP="005569C9">
      <w:pPr>
        <w:pStyle w:val="Default"/>
        <w:spacing w:line="360" w:lineRule="auto"/>
        <w:rPr>
          <w:b/>
          <w:bCs/>
          <w:i/>
          <w:iCs/>
          <w:sz w:val="40"/>
          <w:szCs w:val="40"/>
        </w:rPr>
      </w:pPr>
    </w:p>
    <w:p w14:paraId="48004393" w14:textId="77777777" w:rsidR="005569C9" w:rsidRDefault="005569C9" w:rsidP="005569C9">
      <w:pPr>
        <w:pStyle w:val="Default"/>
        <w:spacing w:line="360" w:lineRule="auto"/>
        <w:rPr>
          <w:b/>
          <w:bCs/>
          <w:i/>
          <w:iCs/>
          <w:sz w:val="40"/>
          <w:szCs w:val="40"/>
        </w:rPr>
      </w:pPr>
    </w:p>
    <w:p w14:paraId="4D2D4A60" w14:textId="77777777" w:rsidR="005569C9" w:rsidRDefault="005569C9" w:rsidP="005569C9">
      <w:pPr>
        <w:pStyle w:val="Default"/>
        <w:spacing w:line="360" w:lineRule="auto"/>
        <w:rPr>
          <w:b/>
          <w:bCs/>
          <w:i/>
          <w:iCs/>
          <w:sz w:val="40"/>
          <w:szCs w:val="40"/>
        </w:rPr>
      </w:pPr>
    </w:p>
    <w:p w14:paraId="5D8B14E6" w14:textId="77777777" w:rsidR="005569C9" w:rsidRDefault="005569C9" w:rsidP="005569C9">
      <w:pPr>
        <w:pStyle w:val="Default"/>
        <w:spacing w:line="360" w:lineRule="auto"/>
        <w:rPr>
          <w:b/>
          <w:bCs/>
          <w:i/>
          <w:iCs/>
          <w:sz w:val="40"/>
          <w:szCs w:val="40"/>
        </w:rPr>
      </w:pPr>
    </w:p>
    <w:p w14:paraId="3BAD9518" w14:textId="6AFD5DAD" w:rsidR="00AB46DA" w:rsidRDefault="00AB46DA" w:rsidP="00AB46DA">
      <w:pPr>
        <w:pStyle w:val="Default"/>
        <w:jc w:val="both"/>
      </w:pPr>
      <w:r w:rsidRPr="001862E1">
        <w:lastRenderedPageBreak/>
        <w:t xml:space="preserve">The EasySave </w:t>
      </w:r>
      <w:r>
        <w:t>p</w:t>
      </w:r>
      <w:r w:rsidRPr="001862E1">
        <w:t xml:space="preserve">rogram is administered by </w:t>
      </w:r>
      <w:r w:rsidR="00303E85">
        <w:t>DNV</w:t>
      </w:r>
      <w:r w:rsidRPr="001862E1">
        <w:t xml:space="preserve"> Energy Services (</w:t>
      </w:r>
      <w:r w:rsidR="00303E85">
        <w:t>DNV</w:t>
      </w:r>
      <w:r w:rsidRPr="001862E1">
        <w:t xml:space="preserve">) </w:t>
      </w:r>
      <w:r w:rsidR="00B642BF">
        <w:t>on behalf of Tucson Electric P</w:t>
      </w:r>
      <w:r>
        <w:t xml:space="preserve">ower. </w:t>
      </w:r>
      <w:r w:rsidRPr="001862E1">
        <w:t>Th</w:t>
      </w:r>
      <w:r>
        <w:t>is</w:t>
      </w:r>
      <w:r w:rsidRPr="001862E1">
        <w:t xml:space="preserve"> </w:t>
      </w:r>
      <w:r>
        <w:t>p</w:t>
      </w:r>
      <w:r w:rsidRPr="001862E1">
        <w:t>rogram is funded</w:t>
      </w:r>
      <w:r>
        <w:t xml:space="preserve"> by</w:t>
      </w:r>
      <w:r w:rsidRPr="001862E1">
        <w:t xml:space="preserve"> </w:t>
      </w:r>
      <w:r>
        <w:t>TEP</w:t>
      </w:r>
      <w:r w:rsidRPr="001862E1">
        <w:t xml:space="preserve"> </w:t>
      </w:r>
      <w:r>
        <w:t>customers</w:t>
      </w:r>
      <w:r w:rsidRPr="001862E1">
        <w:t xml:space="preserve"> </w:t>
      </w:r>
      <w:r>
        <w:t xml:space="preserve">as </w:t>
      </w:r>
      <w:r w:rsidRPr="001862E1">
        <w:t>approved by the Arizona Corporation Commission</w:t>
      </w:r>
      <w:r>
        <w:t xml:space="preserve">. </w:t>
      </w:r>
      <w:r w:rsidRPr="001862E1">
        <w:t xml:space="preserve">The </w:t>
      </w:r>
      <w:r>
        <w:t>p</w:t>
      </w:r>
      <w:r w:rsidRPr="001862E1">
        <w:t xml:space="preserve">rogram is designed to provide comprehensive energy efficiency upgrades to </w:t>
      </w:r>
      <w:r>
        <w:t>small</w:t>
      </w:r>
      <w:r w:rsidRPr="001862E1">
        <w:t xml:space="preserve"> commercial businesses</w:t>
      </w:r>
      <w:r w:rsidR="00B642BF">
        <w:t xml:space="preserve"> and K-12 schools</w:t>
      </w:r>
      <w:r w:rsidRPr="001862E1">
        <w:t xml:space="preserve">. </w:t>
      </w:r>
    </w:p>
    <w:p w14:paraId="0D3D95E2" w14:textId="77777777" w:rsidR="005569C9" w:rsidRPr="00052A8A" w:rsidRDefault="005569C9" w:rsidP="005569C9">
      <w:pPr>
        <w:pStyle w:val="Default"/>
        <w:pBdr>
          <w:bottom w:val="single" w:sz="12" w:space="1" w:color="auto"/>
        </w:pBdr>
        <w:rPr>
          <w:bCs/>
          <w:iCs/>
        </w:rPr>
      </w:pPr>
    </w:p>
    <w:p w14:paraId="0EABC29E" w14:textId="77777777" w:rsidR="005569C9" w:rsidRDefault="005569C9" w:rsidP="005569C9">
      <w:pPr>
        <w:pStyle w:val="Default"/>
      </w:pPr>
    </w:p>
    <w:sdt>
      <w:sdtPr>
        <w:rPr>
          <w:rFonts w:ascii="Calibri" w:eastAsia="MS Mincho" w:hAnsi="Calibri" w:cs="Calibri"/>
          <w:color w:val="000000"/>
          <w:sz w:val="24"/>
          <w:szCs w:val="24"/>
          <w:lang w:eastAsia="ja-JP"/>
        </w:rPr>
        <w:id w:val="-1340309143"/>
        <w:docPartObj>
          <w:docPartGallery w:val="Table of Contents"/>
          <w:docPartUnique/>
        </w:docPartObj>
      </w:sdtPr>
      <w:sdtEndPr>
        <w:rPr>
          <w:rFonts w:asciiTheme="minorHAnsi" w:hAnsiTheme="minorHAnsi" w:cstheme="minorBidi"/>
          <w:color w:val="auto"/>
          <w:sz w:val="22"/>
          <w:szCs w:val="22"/>
        </w:rPr>
      </w:sdtEndPr>
      <w:sdtContent>
        <w:p w14:paraId="6E55CDC2" w14:textId="77777777" w:rsidR="00513F7A" w:rsidRDefault="00513F7A">
          <w:pPr>
            <w:pStyle w:val="TOCHeading"/>
          </w:pPr>
          <w:r>
            <w:t>Table of Contents</w:t>
          </w:r>
        </w:p>
        <w:p w14:paraId="3736F06C" w14:textId="7BE6627E" w:rsidR="000210A3" w:rsidRDefault="00513F7A">
          <w:pPr>
            <w:pStyle w:val="TOC1"/>
            <w:tabs>
              <w:tab w:val="left" w:pos="440"/>
              <w:tab w:val="right" w:leader="dot" w:pos="10351"/>
            </w:tabs>
            <w:rPr>
              <w:rFonts w:eastAsiaTheme="minorEastAsia"/>
              <w:noProof/>
              <w:lang w:eastAsia="en-US"/>
            </w:rPr>
          </w:pPr>
          <w:r>
            <w:fldChar w:fldCharType="begin"/>
          </w:r>
          <w:r>
            <w:instrText xml:space="preserve"> TOC \o "1-3" \h \z \u </w:instrText>
          </w:r>
          <w:r>
            <w:fldChar w:fldCharType="separate"/>
          </w:r>
          <w:hyperlink w:anchor="_Toc95915110" w:history="1">
            <w:r w:rsidR="000210A3" w:rsidRPr="002267E1">
              <w:rPr>
                <w:rStyle w:val="Hyperlink"/>
                <w:b/>
                <w:noProof/>
              </w:rPr>
              <w:t>1.</w:t>
            </w:r>
            <w:r w:rsidR="000210A3">
              <w:rPr>
                <w:rFonts w:eastAsiaTheme="minorEastAsia"/>
                <w:noProof/>
                <w:lang w:eastAsia="en-US"/>
              </w:rPr>
              <w:tab/>
            </w:r>
            <w:r w:rsidR="000210A3" w:rsidRPr="002267E1">
              <w:rPr>
                <w:rStyle w:val="Hyperlink"/>
                <w:b/>
                <w:noProof/>
              </w:rPr>
              <w:t>Program Overview</w:t>
            </w:r>
            <w:r w:rsidR="000210A3">
              <w:rPr>
                <w:noProof/>
                <w:webHidden/>
              </w:rPr>
              <w:tab/>
            </w:r>
            <w:r w:rsidR="000210A3">
              <w:rPr>
                <w:noProof/>
                <w:webHidden/>
              </w:rPr>
              <w:fldChar w:fldCharType="begin"/>
            </w:r>
            <w:r w:rsidR="000210A3">
              <w:rPr>
                <w:noProof/>
                <w:webHidden/>
              </w:rPr>
              <w:instrText xml:space="preserve"> PAGEREF _Toc95915110 \h </w:instrText>
            </w:r>
            <w:r w:rsidR="000210A3">
              <w:rPr>
                <w:noProof/>
                <w:webHidden/>
              </w:rPr>
            </w:r>
            <w:r w:rsidR="000210A3">
              <w:rPr>
                <w:noProof/>
                <w:webHidden/>
              </w:rPr>
              <w:fldChar w:fldCharType="separate"/>
            </w:r>
            <w:r w:rsidR="000210A3">
              <w:rPr>
                <w:noProof/>
                <w:webHidden/>
              </w:rPr>
              <w:t>4</w:t>
            </w:r>
            <w:r w:rsidR="000210A3">
              <w:rPr>
                <w:noProof/>
                <w:webHidden/>
              </w:rPr>
              <w:fldChar w:fldCharType="end"/>
            </w:r>
          </w:hyperlink>
        </w:p>
        <w:p w14:paraId="51B22C1C" w14:textId="5CE91314" w:rsidR="000210A3" w:rsidRDefault="000210A3">
          <w:pPr>
            <w:pStyle w:val="TOC1"/>
            <w:tabs>
              <w:tab w:val="right" w:leader="dot" w:pos="10351"/>
            </w:tabs>
            <w:rPr>
              <w:rFonts w:eastAsiaTheme="minorEastAsia"/>
              <w:noProof/>
              <w:lang w:eastAsia="en-US"/>
            </w:rPr>
          </w:pPr>
          <w:hyperlink w:anchor="_Toc95915111" w:history="1">
            <w:r w:rsidRPr="002267E1">
              <w:rPr>
                <w:rStyle w:val="Hyperlink"/>
                <w:b/>
                <w:noProof/>
              </w:rPr>
              <w:t>1.1      Incentives</w:t>
            </w:r>
            <w:r>
              <w:rPr>
                <w:noProof/>
                <w:webHidden/>
              </w:rPr>
              <w:tab/>
            </w:r>
            <w:r>
              <w:rPr>
                <w:noProof/>
                <w:webHidden/>
              </w:rPr>
              <w:fldChar w:fldCharType="begin"/>
            </w:r>
            <w:r>
              <w:rPr>
                <w:noProof/>
                <w:webHidden/>
              </w:rPr>
              <w:instrText xml:space="preserve"> PAGEREF _Toc95915111 \h </w:instrText>
            </w:r>
            <w:r>
              <w:rPr>
                <w:noProof/>
                <w:webHidden/>
              </w:rPr>
            </w:r>
            <w:r>
              <w:rPr>
                <w:noProof/>
                <w:webHidden/>
              </w:rPr>
              <w:fldChar w:fldCharType="separate"/>
            </w:r>
            <w:r>
              <w:rPr>
                <w:noProof/>
                <w:webHidden/>
              </w:rPr>
              <w:t>4</w:t>
            </w:r>
            <w:r>
              <w:rPr>
                <w:noProof/>
                <w:webHidden/>
              </w:rPr>
              <w:fldChar w:fldCharType="end"/>
            </w:r>
          </w:hyperlink>
        </w:p>
        <w:p w14:paraId="3B5315F3" w14:textId="1C85913F" w:rsidR="000210A3" w:rsidRDefault="000210A3">
          <w:pPr>
            <w:pStyle w:val="TOC1"/>
            <w:tabs>
              <w:tab w:val="right" w:leader="dot" w:pos="10351"/>
            </w:tabs>
            <w:rPr>
              <w:rFonts w:eastAsiaTheme="minorEastAsia"/>
              <w:noProof/>
              <w:lang w:eastAsia="en-US"/>
            </w:rPr>
          </w:pPr>
          <w:hyperlink w:anchor="_Toc95915112" w:history="1">
            <w:r w:rsidRPr="002267E1">
              <w:rPr>
                <w:rStyle w:val="Hyperlink"/>
                <w:b/>
                <w:noProof/>
              </w:rPr>
              <w:t>1.2      Customer Caps</w:t>
            </w:r>
            <w:r>
              <w:rPr>
                <w:noProof/>
                <w:webHidden/>
              </w:rPr>
              <w:tab/>
            </w:r>
            <w:r>
              <w:rPr>
                <w:noProof/>
                <w:webHidden/>
              </w:rPr>
              <w:fldChar w:fldCharType="begin"/>
            </w:r>
            <w:r>
              <w:rPr>
                <w:noProof/>
                <w:webHidden/>
              </w:rPr>
              <w:instrText xml:space="preserve"> PAGEREF _Toc95915112 \h </w:instrText>
            </w:r>
            <w:r>
              <w:rPr>
                <w:noProof/>
                <w:webHidden/>
              </w:rPr>
            </w:r>
            <w:r>
              <w:rPr>
                <w:noProof/>
                <w:webHidden/>
              </w:rPr>
              <w:fldChar w:fldCharType="separate"/>
            </w:r>
            <w:r>
              <w:rPr>
                <w:noProof/>
                <w:webHidden/>
              </w:rPr>
              <w:t>5</w:t>
            </w:r>
            <w:r>
              <w:rPr>
                <w:noProof/>
                <w:webHidden/>
              </w:rPr>
              <w:fldChar w:fldCharType="end"/>
            </w:r>
          </w:hyperlink>
        </w:p>
        <w:p w14:paraId="7D7DD4B4" w14:textId="56D85200" w:rsidR="000210A3" w:rsidRDefault="000210A3">
          <w:pPr>
            <w:pStyle w:val="TOC1"/>
            <w:tabs>
              <w:tab w:val="left" w:pos="440"/>
              <w:tab w:val="right" w:leader="dot" w:pos="10351"/>
            </w:tabs>
            <w:rPr>
              <w:rFonts w:eastAsiaTheme="minorEastAsia"/>
              <w:noProof/>
              <w:lang w:eastAsia="en-US"/>
            </w:rPr>
          </w:pPr>
          <w:hyperlink w:anchor="_Toc95915113" w:history="1">
            <w:r w:rsidRPr="002267E1">
              <w:rPr>
                <w:rStyle w:val="Hyperlink"/>
                <w:b/>
                <w:noProof/>
              </w:rPr>
              <w:t>2.</w:t>
            </w:r>
            <w:r>
              <w:rPr>
                <w:rFonts w:eastAsiaTheme="minorEastAsia"/>
                <w:noProof/>
                <w:lang w:eastAsia="en-US"/>
              </w:rPr>
              <w:tab/>
            </w:r>
            <w:r w:rsidRPr="002267E1">
              <w:rPr>
                <w:rStyle w:val="Hyperlink"/>
                <w:b/>
                <w:noProof/>
              </w:rPr>
              <w:t>Contact Information</w:t>
            </w:r>
            <w:r>
              <w:rPr>
                <w:noProof/>
                <w:webHidden/>
              </w:rPr>
              <w:tab/>
            </w:r>
            <w:r>
              <w:rPr>
                <w:noProof/>
                <w:webHidden/>
              </w:rPr>
              <w:fldChar w:fldCharType="begin"/>
            </w:r>
            <w:r>
              <w:rPr>
                <w:noProof/>
                <w:webHidden/>
              </w:rPr>
              <w:instrText xml:space="preserve"> PAGEREF _Toc95915113 \h </w:instrText>
            </w:r>
            <w:r>
              <w:rPr>
                <w:noProof/>
                <w:webHidden/>
              </w:rPr>
            </w:r>
            <w:r>
              <w:rPr>
                <w:noProof/>
                <w:webHidden/>
              </w:rPr>
              <w:fldChar w:fldCharType="separate"/>
            </w:r>
            <w:r>
              <w:rPr>
                <w:noProof/>
                <w:webHidden/>
              </w:rPr>
              <w:t>5</w:t>
            </w:r>
            <w:r>
              <w:rPr>
                <w:noProof/>
                <w:webHidden/>
              </w:rPr>
              <w:fldChar w:fldCharType="end"/>
            </w:r>
          </w:hyperlink>
        </w:p>
        <w:p w14:paraId="5F55FDE4" w14:textId="12A1C791" w:rsidR="000210A3" w:rsidRDefault="000210A3">
          <w:pPr>
            <w:pStyle w:val="TOC1"/>
            <w:tabs>
              <w:tab w:val="left" w:pos="440"/>
              <w:tab w:val="right" w:leader="dot" w:pos="10351"/>
            </w:tabs>
            <w:rPr>
              <w:rFonts w:eastAsiaTheme="minorEastAsia"/>
              <w:noProof/>
              <w:lang w:eastAsia="en-US"/>
            </w:rPr>
          </w:pPr>
          <w:hyperlink w:anchor="_Toc95915114" w:history="1">
            <w:r w:rsidRPr="002267E1">
              <w:rPr>
                <w:rStyle w:val="Hyperlink"/>
                <w:b/>
                <w:noProof/>
              </w:rPr>
              <w:t>3.</w:t>
            </w:r>
            <w:r>
              <w:rPr>
                <w:rFonts w:eastAsiaTheme="minorEastAsia"/>
                <w:noProof/>
                <w:lang w:eastAsia="en-US"/>
              </w:rPr>
              <w:tab/>
            </w:r>
            <w:r w:rsidRPr="002267E1">
              <w:rPr>
                <w:rStyle w:val="Hyperlink"/>
                <w:b/>
                <w:noProof/>
              </w:rPr>
              <w:t>What are the Program Benefits?</w:t>
            </w:r>
            <w:r>
              <w:rPr>
                <w:noProof/>
                <w:webHidden/>
              </w:rPr>
              <w:tab/>
            </w:r>
            <w:r>
              <w:rPr>
                <w:noProof/>
                <w:webHidden/>
              </w:rPr>
              <w:fldChar w:fldCharType="begin"/>
            </w:r>
            <w:r>
              <w:rPr>
                <w:noProof/>
                <w:webHidden/>
              </w:rPr>
              <w:instrText xml:space="preserve"> PAGEREF _Toc95915114 \h </w:instrText>
            </w:r>
            <w:r>
              <w:rPr>
                <w:noProof/>
                <w:webHidden/>
              </w:rPr>
            </w:r>
            <w:r>
              <w:rPr>
                <w:noProof/>
                <w:webHidden/>
              </w:rPr>
              <w:fldChar w:fldCharType="separate"/>
            </w:r>
            <w:r>
              <w:rPr>
                <w:noProof/>
                <w:webHidden/>
              </w:rPr>
              <w:t>6</w:t>
            </w:r>
            <w:r>
              <w:rPr>
                <w:noProof/>
                <w:webHidden/>
              </w:rPr>
              <w:fldChar w:fldCharType="end"/>
            </w:r>
          </w:hyperlink>
        </w:p>
        <w:p w14:paraId="00FA0174" w14:textId="15635665" w:rsidR="000210A3" w:rsidRDefault="000210A3">
          <w:pPr>
            <w:pStyle w:val="TOC1"/>
            <w:tabs>
              <w:tab w:val="left" w:pos="440"/>
              <w:tab w:val="right" w:leader="dot" w:pos="10351"/>
            </w:tabs>
            <w:rPr>
              <w:rFonts w:eastAsiaTheme="minorEastAsia"/>
              <w:noProof/>
              <w:lang w:eastAsia="en-US"/>
            </w:rPr>
          </w:pPr>
          <w:hyperlink w:anchor="_Toc95915115" w:history="1">
            <w:r w:rsidRPr="002267E1">
              <w:rPr>
                <w:rStyle w:val="Hyperlink"/>
                <w:b/>
                <w:noProof/>
              </w:rPr>
              <w:t>4.</w:t>
            </w:r>
            <w:r>
              <w:rPr>
                <w:rFonts w:eastAsiaTheme="minorEastAsia"/>
                <w:noProof/>
                <w:lang w:eastAsia="en-US"/>
              </w:rPr>
              <w:tab/>
            </w:r>
            <w:r w:rsidRPr="002267E1">
              <w:rPr>
                <w:rStyle w:val="Hyperlink"/>
                <w:b/>
                <w:noProof/>
              </w:rPr>
              <w:t>Program Process Overview</w:t>
            </w:r>
            <w:r>
              <w:rPr>
                <w:noProof/>
                <w:webHidden/>
              </w:rPr>
              <w:tab/>
            </w:r>
            <w:r>
              <w:rPr>
                <w:noProof/>
                <w:webHidden/>
              </w:rPr>
              <w:fldChar w:fldCharType="begin"/>
            </w:r>
            <w:r>
              <w:rPr>
                <w:noProof/>
                <w:webHidden/>
              </w:rPr>
              <w:instrText xml:space="preserve"> PAGEREF _Toc95915115 \h </w:instrText>
            </w:r>
            <w:r>
              <w:rPr>
                <w:noProof/>
                <w:webHidden/>
              </w:rPr>
            </w:r>
            <w:r>
              <w:rPr>
                <w:noProof/>
                <w:webHidden/>
              </w:rPr>
              <w:fldChar w:fldCharType="separate"/>
            </w:r>
            <w:r>
              <w:rPr>
                <w:noProof/>
                <w:webHidden/>
              </w:rPr>
              <w:t>6</w:t>
            </w:r>
            <w:r>
              <w:rPr>
                <w:noProof/>
                <w:webHidden/>
              </w:rPr>
              <w:fldChar w:fldCharType="end"/>
            </w:r>
          </w:hyperlink>
        </w:p>
        <w:p w14:paraId="121668A7" w14:textId="15CA851E" w:rsidR="000210A3" w:rsidRDefault="000210A3">
          <w:pPr>
            <w:pStyle w:val="TOC1"/>
            <w:tabs>
              <w:tab w:val="right" w:leader="dot" w:pos="10351"/>
            </w:tabs>
            <w:rPr>
              <w:rFonts w:eastAsiaTheme="minorEastAsia"/>
              <w:noProof/>
              <w:lang w:eastAsia="en-US"/>
            </w:rPr>
          </w:pPr>
          <w:hyperlink w:anchor="_Toc95915116" w:history="1">
            <w:r w:rsidRPr="002267E1">
              <w:rPr>
                <w:rStyle w:val="Hyperlink"/>
                <w:b/>
                <w:noProof/>
              </w:rPr>
              <w:t>4.1. No Assignment or Subcontracting</w:t>
            </w:r>
            <w:r>
              <w:rPr>
                <w:noProof/>
                <w:webHidden/>
              </w:rPr>
              <w:tab/>
            </w:r>
            <w:r>
              <w:rPr>
                <w:noProof/>
                <w:webHidden/>
              </w:rPr>
              <w:fldChar w:fldCharType="begin"/>
            </w:r>
            <w:r>
              <w:rPr>
                <w:noProof/>
                <w:webHidden/>
              </w:rPr>
              <w:instrText xml:space="preserve"> PAGEREF _Toc95915116 \h </w:instrText>
            </w:r>
            <w:r>
              <w:rPr>
                <w:noProof/>
                <w:webHidden/>
              </w:rPr>
            </w:r>
            <w:r>
              <w:rPr>
                <w:noProof/>
                <w:webHidden/>
              </w:rPr>
              <w:fldChar w:fldCharType="separate"/>
            </w:r>
            <w:r>
              <w:rPr>
                <w:noProof/>
                <w:webHidden/>
              </w:rPr>
              <w:t>7</w:t>
            </w:r>
            <w:r>
              <w:rPr>
                <w:noProof/>
                <w:webHidden/>
              </w:rPr>
              <w:fldChar w:fldCharType="end"/>
            </w:r>
          </w:hyperlink>
        </w:p>
        <w:p w14:paraId="00B99A47" w14:textId="44498213" w:rsidR="000210A3" w:rsidRDefault="000210A3">
          <w:pPr>
            <w:pStyle w:val="TOC1"/>
            <w:tabs>
              <w:tab w:val="right" w:leader="dot" w:pos="10351"/>
            </w:tabs>
            <w:rPr>
              <w:rFonts w:eastAsiaTheme="minorEastAsia"/>
              <w:noProof/>
              <w:lang w:eastAsia="en-US"/>
            </w:rPr>
          </w:pPr>
          <w:hyperlink w:anchor="_Toc95915117" w:history="1">
            <w:r w:rsidRPr="002267E1">
              <w:rPr>
                <w:rStyle w:val="Hyperlink"/>
                <w:b/>
                <w:noProof/>
              </w:rPr>
              <w:t>4.2. Walk-away Policy</w:t>
            </w:r>
            <w:r>
              <w:rPr>
                <w:noProof/>
                <w:webHidden/>
              </w:rPr>
              <w:tab/>
            </w:r>
            <w:r>
              <w:rPr>
                <w:noProof/>
                <w:webHidden/>
              </w:rPr>
              <w:fldChar w:fldCharType="begin"/>
            </w:r>
            <w:r>
              <w:rPr>
                <w:noProof/>
                <w:webHidden/>
              </w:rPr>
              <w:instrText xml:space="preserve"> PAGEREF _Toc95915117 \h </w:instrText>
            </w:r>
            <w:r>
              <w:rPr>
                <w:noProof/>
                <w:webHidden/>
              </w:rPr>
            </w:r>
            <w:r>
              <w:rPr>
                <w:noProof/>
                <w:webHidden/>
              </w:rPr>
              <w:fldChar w:fldCharType="separate"/>
            </w:r>
            <w:r>
              <w:rPr>
                <w:noProof/>
                <w:webHidden/>
              </w:rPr>
              <w:t>7</w:t>
            </w:r>
            <w:r>
              <w:rPr>
                <w:noProof/>
                <w:webHidden/>
              </w:rPr>
              <w:fldChar w:fldCharType="end"/>
            </w:r>
          </w:hyperlink>
        </w:p>
        <w:p w14:paraId="6B6038F8" w14:textId="436AD774" w:rsidR="000210A3" w:rsidRDefault="000210A3">
          <w:pPr>
            <w:pStyle w:val="TOC1"/>
            <w:tabs>
              <w:tab w:val="left" w:pos="440"/>
              <w:tab w:val="right" w:leader="dot" w:pos="10351"/>
            </w:tabs>
            <w:rPr>
              <w:rFonts w:eastAsiaTheme="minorEastAsia"/>
              <w:noProof/>
              <w:lang w:eastAsia="en-US"/>
            </w:rPr>
          </w:pPr>
          <w:hyperlink w:anchor="_Toc95915118" w:history="1">
            <w:r w:rsidRPr="002267E1">
              <w:rPr>
                <w:rStyle w:val="Hyperlink"/>
                <w:b/>
                <w:noProof/>
              </w:rPr>
              <w:t>5.</w:t>
            </w:r>
            <w:r>
              <w:rPr>
                <w:rFonts w:eastAsiaTheme="minorEastAsia"/>
                <w:noProof/>
                <w:lang w:eastAsia="en-US"/>
              </w:rPr>
              <w:tab/>
            </w:r>
            <w:r w:rsidRPr="002267E1">
              <w:rPr>
                <w:rStyle w:val="Hyperlink"/>
                <w:b/>
                <w:noProof/>
              </w:rPr>
              <w:t>Effective Dates for the Program</w:t>
            </w:r>
            <w:r>
              <w:rPr>
                <w:noProof/>
                <w:webHidden/>
              </w:rPr>
              <w:tab/>
            </w:r>
            <w:r>
              <w:rPr>
                <w:noProof/>
                <w:webHidden/>
              </w:rPr>
              <w:fldChar w:fldCharType="begin"/>
            </w:r>
            <w:r>
              <w:rPr>
                <w:noProof/>
                <w:webHidden/>
              </w:rPr>
              <w:instrText xml:space="preserve"> PAGEREF _Toc95915118 \h </w:instrText>
            </w:r>
            <w:r>
              <w:rPr>
                <w:noProof/>
                <w:webHidden/>
              </w:rPr>
            </w:r>
            <w:r>
              <w:rPr>
                <w:noProof/>
                <w:webHidden/>
              </w:rPr>
              <w:fldChar w:fldCharType="separate"/>
            </w:r>
            <w:r>
              <w:rPr>
                <w:noProof/>
                <w:webHidden/>
              </w:rPr>
              <w:t>7</w:t>
            </w:r>
            <w:r>
              <w:rPr>
                <w:noProof/>
                <w:webHidden/>
              </w:rPr>
              <w:fldChar w:fldCharType="end"/>
            </w:r>
          </w:hyperlink>
        </w:p>
        <w:p w14:paraId="657679DE" w14:textId="71F99FD4" w:rsidR="000210A3" w:rsidRDefault="000210A3">
          <w:pPr>
            <w:pStyle w:val="TOC1"/>
            <w:tabs>
              <w:tab w:val="left" w:pos="440"/>
              <w:tab w:val="right" w:leader="dot" w:pos="10351"/>
            </w:tabs>
            <w:rPr>
              <w:rFonts w:eastAsiaTheme="minorEastAsia"/>
              <w:noProof/>
              <w:lang w:eastAsia="en-US"/>
            </w:rPr>
          </w:pPr>
          <w:hyperlink w:anchor="_Toc95915119" w:history="1">
            <w:r w:rsidRPr="002267E1">
              <w:rPr>
                <w:rStyle w:val="Hyperlink"/>
                <w:b/>
                <w:noProof/>
              </w:rPr>
              <w:t>6.</w:t>
            </w:r>
            <w:r>
              <w:rPr>
                <w:rFonts w:eastAsiaTheme="minorEastAsia"/>
                <w:noProof/>
                <w:lang w:eastAsia="en-US"/>
              </w:rPr>
              <w:tab/>
            </w:r>
            <w:r w:rsidRPr="002267E1">
              <w:rPr>
                <w:rStyle w:val="Hyperlink"/>
                <w:b/>
                <w:noProof/>
              </w:rPr>
              <w:t>Program Eligibility</w:t>
            </w:r>
            <w:r>
              <w:rPr>
                <w:noProof/>
                <w:webHidden/>
              </w:rPr>
              <w:tab/>
            </w:r>
            <w:r>
              <w:rPr>
                <w:noProof/>
                <w:webHidden/>
              </w:rPr>
              <w:fldChar w:fldCharType="begin"/>
            </w:r>
            <w:r>
              <w:rPr>
                <w:noProof/>
                <w:webHidden/>
              </w:rPr>
              <w:instrText xml:space="preserve"> PAGEREF _Toc95915119 \h </w:instrText>
            </w:r>
            <w:r>
              <w:rPr>
                <w:noProof/>
                <w:webHidden/>
              </w:rPr>
            </w:r>
            <w:r>
              <w:rPr>
                <w:noProof/>
                <w:webHidden/>
              </w:rPr>
              <w:fldChar w:fldCharType="separate"/>
            </w:r>
            <w:r>
              <w:rPr>
                <w:noProof/>
                <w:webHidden/>
              </w:rPr>
              <w:t>8</w:t>
            </w:r>
            <w:r>
              <w:rPr>
                <w:noProof/>
                <w:webHidden/>
              </w:rPr>
              <w:fldChar w:fldCharType="end"/>
            </w:r>
          </w:hyperlink>
        </w:p>
        <w:p w14:paraId="0D2E1956" w14:textId="55199A80" w:rsidR="000210A3" w:rsidRDefault="000210A3">
          <w:pPr>
            <w:pStyle w:val="TOC1"/>
            <w:tabs>
              <w:tab w:val="left" w:pos="440"/>
              <w:tab w:val="right" w:leader="dot" w:pos="10351"/>
            </w:tabs>
            <w:rPr>
              <w:rFonts w:eastAsiaTheme="minorEastAsia"/>
              <w:noProof/>
              <w:lang w:eastAsia="en-US"/>
            </w:rPr>
          </w:pPr>
          <w:hyperlink w:anchor="_Toc95915120" w:history="1">
            <w:r w:rsidRPr="002267E1">
              <w:rPr>
                <w:rStyle w:val="Hyperlink"/>
                <w:b/>
                <w:noProof/>
              </w:rPr>
              <w:t>7.</w:t>
            </w:r>
            <w:r>
              <w:rPr>
                <w:rFonts w:eastAsiaTheme="minorEastAsia"/>
                <w:noProof/>
                <w:lang w:eastAsia="en-US"/>
              </w:rPr>
              <w:tab/>
            </w:r>
            <w:r w:rsidRPr="002267E1">
              <w:rPr>
                <w:rStyle w:val="Hyperlink"/>
                <w:b/>
                <w:noProof/>
              </w:rPr>
              <w:t>Customer Disclosure Obligation</w:t>
            </w:r>
            <w:r>
              <w:rPr>
                <w:noProof/>
                <w:webHidden/>
              </w:rPr>
              <w:tab/>
            </w:r>
            <w:r>
              <w:rPr>
                <w:noProof/>
                <w:webHidden/>
              </w:rPr>
              <w:fldChar w:fldCharType="begin"/>
            </w:r>
            <w:r>
              <w:rPr>
                <w:noProof/>
                <w:webHidden/>
              </w:rPr>
              <w:instrText xml:space="preserve"> PAGEREF _Toc95915120 \h </w:instrText>
            </w:r>
            <w:r>
              <w:rPr>
                <w:noProof/>
                <w:webHidden/>
              </w:rPr>
            </w:r>
            <w:r>
              <w:rPr>
                <w:noProof/>
                <w:webHidden/>
              </w:rPr>
              <w:fldChar w:fldCharType="separate"/>
            </w:r>
            <w:r>
              <w:rPr>
                <w:noProof/>
                <w:webHidden/>
              </w:rPr>
              <w:t>8</w:t>
            </w:r>
            <w:r>
              <w:rPr>
                <w:noProof/>
                <w:webHidden/>
              </w:rPr>
              <w:fldChar w:fldCharType="end"/>
            </w:r>
          </w:hyperlink>
        </w:p>
        <w:p w14:paraId="3C8EA9FF" w14:textId="15BE2362" w:rsidR="000210A3" w:rsidRDefault="000210A3">
          <w:pPr>
            <w:pStyle w:val="TOC1"/>
            <w:tabs>
              <w:tab w:val="left" w:pos="660"/>
              <w:tab w:val="right" w:leader="dot" w:pos="10351"/>
            </w:tabs>
            <w:rPr>
              <w:rFonts w:eastAsiaTheme="minorEastAsia"/>
              <w:noProof/>
              <w:lang w:eastAsia="en-US"/>
            </w:rPr>
          </w:pPr>
          <w:hyperlink w:anchor="_Toc95915121" w:history="1">
            <w:r w:rsidRPr="002267E1">
              <w:rPr>
                <w:rStyle w:val="Hyperlink"/>
                <w:b/>
                <w:noProof/>
              </w:rPr>
              <w:t xml:space="preserve">8. </w:t>
            </w:r>
            <w:r>
              <w:rPr>
                <w:rFonts w:eastAsiaTheme="minorEastAsia"/>
                <w:noProof/>
                <w:lang w:eastAsia="en-US"/>
              </w:rPr>
              <w:tab/>
            </w:r>
            <w:r w:rsidRPr="002267E1">
              <w:rPr>
                <w:rStyle w:val="Hyperlink"/>
                <w:b/>
                <w:noProof/>
              </w:rPr>
              <w:t>Hazardous Waste Materials</w:t>
            </w:r>
            <w:r>
              <w:rPr>
                <w:noProof/>
                <w:webHidden/>
              </w:rPr>
              <w:tab/>
            </w:r>
            <w:r>
              <w:rPr>
                <w:noProof/>
                <w:webHidden/>
              </w:rPr>
              <w:fldChar w:fldCharType="begin"/>
            </w:r>
            <w:r>
              <w:rPr>
                <w:noProof/>
                <w:webHidden/>
              </w:rPr>
              <w:instrText xml:space="preserve"> PAGEREF _Toc95915121 \h </w:instrText>
            </w:r>
            <w:r>
              <w:rPr>
                <w:noProof/>
                <w:webHidden/>
              </w:rPr>
            </w:r>
            <w:r>
              <w:rPr>
                <w:noProof/>
                <w:webHidden/>
              </w:rPr>
              <w:fldChar w:fldCharType="separate"/>
            </w:r>
            <w:r>
              <w:rPr>
                <w:noProof/>
                <w:webHidden/>
              </w:rPr>
              <w:t>8</w:t>
            </w:r>
            <w:r>
              <w:rPr>
                <w:noProof/>
                <w:webHidden/>
              </w:rPr>
              <w:fldChar w:fldCharType="end"/>
            </w:r>
          </w:hyperlink>
        </w:p>
        <w:p w14:paraId="481C667D" w14:textId="72B423A5" w:rsidR="000210A3" w:rsidRDefault="000210A3">
          <w:pPr>
            <w:pStyle w:val="TOC1"/>
            <w:tabs>
              <w:tab w:val="left" w:pos="440"/>
              <w:tab w:val="right" w:leader="dot" w:pos="10351"/>
            </w:tabs>
            <w:rPr>
              <w:rFonts w:eastAsiaTheme="minorEastAsia"/>
              <w:noProof/>
              <w:lang w:eastAsia="en-US"/>
            </w:rPr>
          </w:pPr>
          <w:hyperlink w:anchor="_Toc95915122" w:history="1">
            <w:r w:rsidRPr="002267E1">
              <w:rPr>
                <w:rStyle w:val="Hyperlink"/>
                <w:b/>
                <w:noProof/>
              </w:rPr>
              <w:t>9.</w:t>
            </w:r>
            <w:r>
              <w:rPr>
                <w:rFonts w:eastAsiaTheme="minorEastAsia"/>
                <w:noProof/>
                <w:lang w:eastAsia="en-US"/>
              </w:rPr>
              <w:tab/>
            </w:r>
            <w:r w:rsidRPr="002267E1">
              <w:rPr>
                <w:rStyle w:val="Hyperlink"/>
                <w:b/>
                <w:noProof/>
              </w:rPr>
              <w:t>Program Process</w:t>
            </w:r>
            <w:r>
              <w:rPr>
                <w:noProof/>
                <w:webHidden/>
              </w:rPr>
              <w:tab/>
            </w:r>
            <w:r>
              <w:rPr>
                <w:noProof/>
                <w:webHidden/>
              </w:rPr>
              <w:fldChar w:fldCharType="begin"/>
            </w:r>
            <w:r>
              <w:rPr>
                <w:noProof/>
                <w:webHidden/>
              </w:rPr>
              <w:instrText xml:space="preserve"> PAGEREF _Toc95915122 \h </w:instrText>
            </w:r>
            <w:r>
              <w:rPr>
                <w:noProof/>
                <w:webHidden/>
              </w:rPr>
            </w:r>
            <w:r>
              <w:rPr>
                <w:noProof/>
                <w:webHidden/>
              </w:rPr>
              <w:fldChar w:fldCharType="separate"/>
            </w:r>
            <w:r>
              <w:rPr>
                <w:noProof/>
                <w:webHidden/>
              </w:rPr>
              <w:t>9</w:t>
            </w:r>
            <w:r>
              <w:rPr>
                <w:noProof/>
                <w:webHidden/>
              </w:rPr>
              <w:fldChar w:fldCharType="end"/>
            </w:r>
          </w:hyperlink>
        </w:p>
        <w:p w14:paraId="0494B4DC" w14:textId="4811A40A" w:rsidR="000210A3" w:rsidRDefault="000210A3">
          <w:pPr>
            <w:pStyle w:val="TOC1"/>
            <w:tabs>
              <w:tab w:val="left" w:pos="660"/>
              <w:tab w:val="right" w:leader="dot" w:pos="10351"/>
            </w:tabs>
            <w:rPr>
              <w:rFonts w:eastAsiaTheme="minorEastAsia"/>
              <w:noProof/>
              <w:lang w:eastAsia="en-US"/>
            </w:rPr>
          </w:pPr>
          <w:hyperlink w:anchor="_Toc95915123" w:history="1">
            <w:r w:rsidRPr="002267E1">
              <w:rPr>
                <w:rStyle w:val="Hyperlink"/>
                <w:b/>
                <w:noProof/>
              </w:rPr>
              <w:t>10.</w:t>
            </w:r>
            <w:r>
              <w:rPr>
                <w:rFonts w:eastAsiaTheme="minorEastAsia"/>
                <w:noProof/>
                <w:lang w:eastAsia="en-US"/>
              </w:rPr>
              <w:tab/>
            </w:r>
            <w:r w:rsidRPr="002267E1">
              <w:rPr>
                <w:rStyle w:val="Hyperlink"/>
                <w:b/>
                <w:noProof/>
              </w:rPr>
              <w:t>Rebate Payment Process</w:t>
            </w:r>
            <w:r>
              <w:rPr>
                <w:noProof/>
                <w:webHidden/>
              </w:rPr>
              <w:tab/>
            </w:r>
            <w:r>
              <w:rPr>
                <w:noProof/>
                <w:webHidden/>
              </w:rPr>
              <w:fldChar w:fldCharType="begin"/>
            </w:r>
            <w:r>
              <w:rPr>
                <w:noProof/>
                <w:webHidden/>
              </w:rPr>
              <w:instrText xml:space="preserve"> PAGEREF _Toc95915123 \h </w:instrText>
            </w:r>
            <w:r>
              <w:rPr>
                <w:noProof/>
                <w:webHidden/>
              </w:rPr>
            </w:r>
            <w:r>
              <w:rPr>
                <w:noProof/>
                <w:webHidden/>
              </w:rPr>
              <w:fldChar w:fldCharType="separate"/>
            </w:r>
            <w:r>
              <w:rPr>
                <w:noProof/>
                <w:webHidden/>
              </w:rPr>
              <w:t>11</w:t>
            </w:r>
            <w:r>
              <w:rPr>
                <w:noProof/>
                <w:webHidden/>
              </w:rPr>
              <w:fldChar w:fldCharType="end"/>
            </w:r>
          </w:hyperlink>
        </w:p>
        <w:p w14:paraId="57EB2187" w14:textId="1F34C686" w:rsidR="000210A3" w:rsidRDefault="000210A3">
          <w:pPr>
            <w:pStyle w:val="TOC1"/>
            <w:tabs>
              <w:tab w:val="left" w:pos="660"/>
              <w:tab w:val="right" w:leader="dot" w:pos="10351"/>
            </w:tabs>
            <w:rPr>
              <w:rFonts w:eastAsiaTheme="minorEastAsia"/>
              <w:noProof/>
              <w:lang w:eastAsia="en-US"/>
            </w:rPr>
          </w:pPr>
          <w:hyperlink w:anchor="_Toc95915124" w:history="1">
            <w:r w:rsidRPr="002267E1">
              <w:rPr>
                <w:rStyle w:val="Hyperlink"/>
                <w:b/>
                <w:noProof/>
              </w:rPr>
              <w:t xml:space="preserve">11. </w:t>
            </w:r>
            <w:r>
              <w:rPr>
                <w:rFonts w:eastAsiaTheme="minorEastAsia"/>
                <w:noProof/>
                <w:lang w:eastAsia="en-US"/>
              </w:rPr>
              <w:tab/>
            </w:r>
            <w:r w:rsidRPr="002267E1">
              <w:rPr>
                <w:rStyle w:val="Hyperlink"/>
                <w:b/>
                <w:noProof/>
              </w:rPr>
              <w:t>Custom Measures</w:t>
            </w:r>
            <w:r>
              <w:rPr>
                <w:noProof/>
                <w:webHidden/>
              </w:rPr>
              <w:tab/>
            </w:r>
            <w:r>
              <w:rPr>
                <w:noProof/>
                <w:webHidden/>
              </w:rPr>
              <w:fldChar w:fldCharType="begin"/>
            </w:r>
            <w:r>
              <w:rPr>
                <w:noProof/>
                <w:webHidden/>
              </w:rPr>
              <w:instrText xml:space="preserve"> PAGEREF _Toc95915124 \h </w:instrText>
            </w:r>
            <w:r>
              <w:rPr>
                <w:noProof/>
                <w:webHidden/>
              </w:rPr>
            </w:r>
            <w:r>
              <w:rPr>
                <w:noProof/>
                <w:webHidden/>
              </w:rPr>
              <w:fldChar w:fldCharType="separate"/>
            </w:r>
            <w:r>
              <w:rPr>
                <w:noProof/>
                <w:webHidden/>
              </w:rPr>
              <w:t>12</w:t>
            </w:r>
            <w:r>
              <w:rPr>
                <w:noProof/>
                <w:webHidden/>
              </w:rPr>
              <w:fldChar w:fldCharType="end"/>
            </w:r>
          </w:hyperlink>
        </w:p>
        <w:p w14:paraId="72722E6D" w14:textId="682FB3E9" w:rsidR="000210A3" w:rsidRDefault="000210A3">
          <w:pPr>
            <w:pStyle w:val="TOC1"/>
            <w:tabs>
              <w:tab w:val="left" w:pos="660"/>
              <w:tab w:val="right" w:leader="dot" w:pos="10351"/>
            </w:tabs>
            <w:rPr>
              <w:rFonts w:eastAsiaTheme="minorEastAsia"/>
              <w:noProof/>
              <w:lang w:eastAsia="en-US"/>
            </w:rPr>
          </w:pPr>
          <w:hyperlink w:anchor="_Toc95915125" w:history="1">
            <w:r w:rsidRPr="002267E1">
              <w:rPr>
                <w:rStyle w:val="Hyperlink"/>
                <w:b/>
                <w:noProof/>
              </w:rPr>
              <w:t>12.</w:t>
            </w:r>
            <w:r>
              <w:rPr>
                <w:rFonts w:eastAsiaTheme="minorEastAsia"/>
                <w:noProof/>
                <w:lang w:eastAsia="en-US"/>
              </w:rPr>
              <w:tab/>
            </w:r>
            <w:r w:rsidRPr="002267E1">
              <w:rPr>
                <w:rStyle w:val="Hyperlink"/>
                <w:b/>
                <w:noProof/>
              </w:rPr>
              <w:t>Commitment to Rebate Funds</w:t>
            </w:r>
            <w:r>
              <w:rPr>
                <w:noProof/>
                <w:webHidden/>
              </w:rPr>
              <w:tab/>
            </w:r>
            <w:r>
              <w:rPr>
                <w:noProof/>
                <w:webHidden/>
              </w:rPr>
              <w:fldChar w:fldCharType="begin"/>
            </w:r>
            <w:r>
              <w:rPr>
                <w:noProof/>
                <w:webHidden/>
              </w:rPr>
              <w:instrText xml:space="preserve"> PAGEREF _Toc95915125 \h </w:instrText>
            </w:r>
            <w:r>
              <w:rPr>
                <w:noProof/>
                <w:webHidden/>
              </w:rPr>
            </w:r>
            <w:r>
              <w:rPr>
                <w:noProof/>
                <w:webHidden/>
              </w:rPr>
              <w:fldChar w:fldCharType="separate"/>
            </w:r>
            <w:r>
              <w:rPr>
                <w:noProof/>
                <w:webHidden/>
              </w:rPr>
              <w:t>13</w:t>
            </w:r>
            <w:r>
              <w:rPr>
                <w:noProof/>
                <w:webHidden/>
              </w:rPr>
              <w:fldChar w:fldCharType="end"/>
            </w:r>
          </w:hyperlink>
        </w:p>
        <w:p w14:paraId="216C0B81" w14:textId="64C85B67" w:rsidR="000210A3" w:rsidRDefault="000210A3">
          <w:pPr>
            <w:pStyle w:val="TOC1"/>
            <w:tabs>
              <w:tab w:val="left" w:pos="660"/>
              <w:tab w:val="right" w:leader="dot" w:pos="10351"/>
            </w:tabs>
            <w:rPr>
              <w:rFonts w:eastAsiaTheme="minorEastAsia"/>
              <w:noProof/>
              <w:lang w:eastAsia="en-US"/>
            </w:rPr>
          </w:pPr>
          <w:hyperlink w:anchor="_Toc95915126" w:history="1">
            <w:r w:rsidRPr="002267E1">
              <w:rPr>
                <w:rStyle w:val="Hyperlink"/>
                <w:b/>
                <w:noProof/>
              </w:rPr>
              <w:t>13.</w:t>
            </w:r>
            <w:r>
              <w:rPr>
                <w:rFonts w:eastAsiaTheme="minorEastAsia"/>
                <w:noProof/>
                <w:lang w:eastAsia="en-US"/>
              </w:rPr>
              <w:tab/>
            </w:r>
            <w:r w:rsidRPr="002267E1">
              <w:rPr>
                <w:rStyle w:val="Hyperlink"/>
                <w:b/>
                <w:noProof/>
              </w:rPr>
              <w:t>Customer Co-Pay</w:t>
            </w:r>
            <w:r>
              <w:rPr>
                <w:noProof/>
                <w:webHidden/>
              </w:rPr>
              <w:tab/>
            </w:r>
            <w:r>
              <w:rPr>
                <w:noProof/>
                <w:webHidden/>
              </w:rPr>
              <w:fldChar w:fldCharType="begin"/>
            </w:r>
            <w:r>
              <w:rPr>
                <w:noProof/>
                <w:webHidden/>
              </w:rPr>
              <w:instrText xml:space="preserve"> PAGEREF _Toc95915126 \h </w:instrText>
            </w:r>
            <w:r>
              <w:rPr>
                <w:noProof/>
                <w:webHidden/>
              </w:rPr>
            </w:r>
            <w:r>
              <w:rPr>
                <w:noProof/>
                <w:webHidden/>
              </w:rPr>
              <w:fldChar w:fldCharType="separate"/>
            </w:r>
            <w:r>
              <w:rPr>
                <w:noProof/>
                <w:webHidden/>
              </w:rPr>
              <w:t>14</w:t>
            </w:r>
            <w:r>
              <w:rPr>
                <w:noProof/>
                <w:webHidden/>
              </w:rPr>
              <w:fldChar w:fldCharType="end"/>
            </w:r>
          </w:hyperlink>
        </w:p>
        <w:p w14:paraId="490209BD" w14:textId="47BD03F3" w:rsidR="000210A3" w:rsidRDefault="000210A3">
          <w:pPr>
            <w:pStyle w:val="TOC1"/>
            <w:tabs>
              <w:tab w:val="left" w:pos="660"/>
              <w:tab w:val="right" w:leader="dot" w:pos="10351"/>
            </w:tabs>
            <w:rPr>
              <w:rFonts w:eastAsiaTheme="minorEastAsia"/>
              <w:noProof/>
              <w:lang w:eastAsia="en-US"/>
            </w:rPr>
          </w:pPr>
          <w:hyperlink w:anchor="_Toc95915127" w:history="1">
            <w:r w:rsidRPr="002267E1">
              <w:rPr>
                <w:rStyle w:val="Hyperlink"/>
                <w:b/>
                <w:noProof/>
              </w:rPr>
              <w:t>14.</w:t>
            </w:r>
            <w:r>
              <w:rPr>
                <w:rFonts w:eastAsiaTheme="minorEastAsia"/>
                <w:noProof/>
                <w:lang w:eastAsia="en-US"/>
              </w:rPr>
              <w:tab/>
            </w:r>
            <w:r w:rsidRPr="002267E1">
              <w:rPr>
                <w:rStyle w:val="Hyperlink"/>
                <w:b/>
                <w:noProof/>
              </w:rPr>
              <w:t>Dispute Resolution</w:t>
            </w:r>
            <w:r>
              <w:rPr>
                <w:noProof/>
                <w:webHidden/>
              </w:rPr>
              <w:tab/>
            </w:r>
            <w:r>
              <w:rPr>
                <w:noProof/>
                <w:webHidden/>
              </w:rPr>
              <w:fldChar w:fldCharType="begin"/>
            </w:r>
            <w:r>
              <w:rPr>
                <w:noProof/>
                <w:webHidden/>
              </w:rPr>
              <w:instrText xml:space="preserve"> PAGEREF _Toc95915127 \h </w:instrText>
            </w:r>
            <w:r>
              <w:rPr>
                <w:noProof/>
                <w:webHidden/>
              </w:rPr>
            </w:r>
            <w:r>
              <w:rPr>
                <w:noProof/>
                <w:webHidden/>
              </w:rPr>
              <w:fldChar w:fldCharType="separate"/>
            </w:r>
            <w:r>
              <w:rPr>
                <w:noProof/>
                <w:webHidden/>
              </w:rPr>
              <w:t>14</w:t>
            </w:r>
            <w:r>
              <w:rPr>
                <w:noProof/>
                <w:webHidden/>
              </w:rPr>
              <w:fldChar w:fldCharType="end"/>
            </w:r>
          </w:hyperlink>
        </w:p>
        <w:p w14:paraId="6E3C6223" w14:textId="185ED8A2" w:rsidR="000210A3" w:rsidRDefault="000210A3">
          <w:pPr>
            <w:pStyle w:val="TOC1"/>
            <w:tabs>
              <w:tab w:val="left" w:pos="660"/>
              <w:tab w:val="right" w:leader="dot" w:pos="10351"/>
            </w:tabs>
            <w:rPr>
              <w:rFonts w:eastAsiaTheme="minorEastAsia"/>
              <w:noProof/>
              <w:lang w:eastAsia="en-US"/>
            </w:rPr>
          </w:pPr>
          <w:hyperlink w:anchor="_Toc95915128" w:history="1">
            <w:r w:rsidRPr="002267E1">
              <w:rPr>
                <w:rStyle w:val="Hyperlink"/>
                <w:b/>
                <w:noProof/>
              </w:rPr>
              <w:t>15.</w:t>
            </w:r>
            <w:r>
              <w:rPr>
                <w:rFonts w:eastAsiaTheme="minorEastAsia"/>
                <w:noProof/>
                <w:lang w:eastAsia="en-US"/>
              </w:rPr>
              <w:tab/>
            </w:r>
            <w:r w:rsidRPr="002267E1">
              <w:rPr>
                <w:rStyle w:val="Hyperlink"/>
                <w:b/>
                <w:noProof/>
              </w:rPr>
              <w:t>Trade Ally Removal</w:t>
            </w:r>
            <w:r>
              <w:rPr>
                <w:noProof/>
                <w:webHidden/>
              </w:rPr>
              <w:tab/>
            </w:r>
            <w:r>
              <w:rPr>
                <w:noProof/>
                <w:webHidden/>
              </w:rPr>
              <w:fldChar w:fldCharType="begin"/>
            </w:r>
            <w:r>
              <w:rPr>
                <w:noProof/>
                <w:webHidden/>
              </w:rPr>
              <w:instrText xml:space="preserve"> PAGEREF _Toc95915128 \h </w:instrText>
            </w:r>
            <w:r>
              <w:rPr>
                <w:noProof/>
                <w:webHidden/>
              </w:rPr>
            </w:r>
            <w:r>
              <w:rPr>
                <w:noProof/>
                <w:webHidden/>
              </w:rPr>
              <w:fldChar w:fldCharType="separate"/>
            </w:r>
            <w:r>
              <w:rPr>
                <w:noProof/>
                <w:webHidden/>
              </w:rPr>
              <w:t>14</w:t>
            </w:r>
            <w:r>
              <w:rPr>
                <w:noProof/>
                <w:webHidden/>
              </w:rPr>
              <w:fldChar w:fldCharType="end"/>
            </w:r>
          </w:hyperlink>
        </w:p>
        <w:p w14:paraId="1D8DC7B0" w14:textId="5D65650F" w:rsidR="000210A3" w:rsidRDefault="000210A3">
          <w:pPr>
            <w:pStyle w:val="TOC1"/>
            <w:tabs>
              <w:tab w:val="left" w:pos="660"/>
              <w:tab w:val="right" w:leader="dot" w:pos="10351"/>
            </w:tabs>
            <w:rPr>
              <w:rFonts w:eastAsiaTheme="minorEastAsia"/>
              <w:noProof/>
              <w:lang w:eastAsia="en-US"/>
            </w:rPr>
          </w:pPr>
          <w:hyperlink w:anchor="_Toc95915129" w:history="1">
            <w:r w:rsidRPr="002267E1">
              <w:rPr>
                <w:rStyle w:val="Hyperlink"/>
                <w:b/>
                <w:noProof/>
              </w:rPr>
              <w:t>16.</w:t>
            </w:r>
            <w:r>
              <w:rPr>
                <w:rFonts w:eastAsiaTheme="minorEastAsia"/>
                <w:noProof/>
                <w:lang w:eastAsia="en-US"/>
              </w:rPr>
              <w:tab/>
            </w:r>
            <w:r w:rsidRPr="002267E1">
              <w:rPr>
                <w:rStyle w:val="Hyperlink"/>
                <w:b/>
                <w:noProof/>
              </w:rPr>
              <w:t>1099 Filing and Reporting</w:t>
            </w:r>
            <w:r>
              <w:rPr>
                <w:noProof/>
                <w:webHidden/>
              </w:rPr>
              <w:tab/>
            </w:r>
            <w:r>
              <w:rPr>
                <w:noProof/>
                <w:webHidden/>
              </w:rPr>
              <w:fldChar w:fldCharType="begin"/>
            </w:r>
            <w:r>
              <w:rPr>
                <w:noProof/>
                <w:webHidden/>
              </w:rPr>
              <w:instrText xml:space="preserve"> PAGEREF _Toc95915129 \h </w:instrText>
            </w:r>
            <w:r>
              <w:rPr>
                <w:noProof/>
                <w:webHidden/>
              </w:rPr>
            </w:r>
            <w:r>
              <w:rPr>
                <w:noProof/>
                <w:webHidden/>
              </w:rPr>
              <w:fldChar w:fldCharType="separate"/>
            </w:r>
            <w:r>
              <w:rPr>
                <w:noProof/>
                <w:webHidden/>
              </w:rPr>
              <w:t>15</w:t>
            </w:r>
            <w:r>
              <w:rPr>
                <w:noProof/>
                <w:webHidden/>
              </w:rPr>
              <w:fldChar w:fldCharType="end"/>
            </w:r>
          </w:hyperlink>
        </w:p>
        <w:p w14:paraId="63325EDC" w14:textId="0DD31436" w:rsidR="000210A3" w:rsidRDefault="000210A3">
          <w:pPr>
            <w:pStyle w:val="TOC1"/>
            <w:tabs>
              <w:tab w:val="left" w:pos="660"/>
              <w:tab w:val="right" w:leader="dot" w:pos="10351"/>
            </w:tabs>
            <w:rPr>
              <w:rFonts w:eastAsiaTheme="minorEastAsia"/>
              <w:noProof/>
              <w:lang w:eastAsia="en-US"/>
            </w:rPr>
          </w:pPr>
          <w:hyperlink w:anchor="_Toc95915130" w:history="1">
            <w:r w:rsidRPr="002267E1">
              <w:rPr>
                <w:rStyle w:val="Hyperlink"/>
                <w:b/>
                <w:noProof/>
              </w:rPr>
              <w:t>17.</w:t>
            </w:r>
            <w:r>
              <w:rPr>
                <w:rFonts w:eastAsiaTheme="minorEastAsia"/>
                <w:noProof/>
                <w:lang w:eastAsia="en-US"/>
              </w:rPr>
              <w:tab/>
            </w:r>
            <w:r w:rsidRPr="002267E1">
              <w:rPr>
                <w:rStyle w:val="Hyperlink"/>
                <w:b/>
                <w:noProof/>
              </w:rPr>
              <w:t>Equipment Specifications and Installation Standards</w:t>
            </w:r>
            <w:r>
              <w:rPr>
                <w:noProof/>
                <w:webHidden/>
              </w:rPr>
              <w:tab/>
            </w:r>
            <w:r>
              <w:rPr>
                <w:noProof/>
                <w:webHidden/>
              </w:rPr>
              <w:fldChar w:fldCharType="begin"/>
            </w:r>
            <w:r>
              <w:rPr>
                <w:noProof/>
                <w:webHidden/>
              </w:rPr>
              <w:instrText xml:space="preserve"> PAGEREF _Toc95915130 \h </w:instrText>
            </w:r>
            <w:r>
              <w:rPr>
                <w:noProof/>
                <w:webHidden/>
              </w:rPr>
            </w:r>
            <w:r>
              <w:rPr>
                <w:noProof/>
                <w:webHidden/>
              </w:rPr>
              <w:fldChar w:fldCharType="separate"/>
            </w:r>
            <w:r>
              <w:rPr>
                <w:noProof/>
                <w:webHidden/>
              </w:rPr>
              <w:t>15</w:t>
            </w:r>
            <w:r>
              <w:rPr>
                <w:noProof/>
                <w:webHidden/>
              </w:rPr>
              <w:fldChar w:fldCharType="end"/>
            </w:r>
          </w:hyperlink>
        </w:p>
        <w:p w14:paraId="1E6E1968" w14:textId="406A7ED5" w:rsidR="000210A3" w:rsidRDefault="000210A3">
          <w:pPr>
            <w:pStyle w:val="TOC1"/>
            <w:tabs>
              <w:tab w:val="left" w:pos="660"/>
              <w:tab w:val="right" w:leader="dot" w:pos="10351"/>
            </w:tabs>
            <w:rPr>
              <w:rFonts w:eastAsiaTheme="minorEastAsia"/>
              <w:noProof/>
              <w:lang w:eastAsia="en-US"/>
            </w:rPr>
          </w:pPr>
          <w:hyperlink w:anchor="_Toc95915131" w:history="1">
            <w:r w:rsidRPr="002267E1">
              <w:rPr>
                <w:rStyle w:val="Hyperlink"/>
                <w:b/>
                <w:noProof/>
              </w:rPr>
              <w:t>18.</w:t>
            </w:r>
            <w:r>
              <w:rPr>
                <w:rFonts w:eastAsiaTheme="minorEastAsia"/>
                <w:noProof/>
                <w:lang w:eastAsia="en-US"/>
              </w:rPr>
              <w:tab/>
            </w:r>
            <w:r w:rsidRPr="002267E1">
              <w:rPr>
                <w:rStyle w:val="Hyperlink"/>
                <w:b/>
                <w:noProof/>
              </w:rPr>
              <w:t>Warranties</w:t>
            </w:r>
            <w:r>
              <w:rPr>
                <w:noProof/>
                <w:webHidden/>
              </w:rPr>
              <w:tab/>
            </w:r>
            <w:r>
              <w:rPr>
                <w:noProof/>
                <w:webHidden/>
              </w:rPr>
              <w:fldChar w:fldCharType="begin"/>
            </w:r>
            <w:r>
              <w:rPr>
                <w:noProof/>
                <w:webHidden/>
              </w:rPr>
              <w:instrText xml:space="preserve"> PAGEREF _Toc95915131 \h </w:instrText>
            </w:r>
            <w:r>
              <w:rPr>
                <w:noProof/>
                <w:webHidden/>
              </w:rPr>
            </w:r>
            <w:r>
              <w:rPr>
                <w:noProof/>
                <w:webHidden/>
              </w:rPr>
              <w:fldChar w:fldCharType="separate"/>
            </w:r>
            <w:r>
              <w:rPr>
                <w:noProof/>
                <w:webHidden/>
              </w:rPr>
              <w:t>15</w:t>
            </w:r>
            <w:r>
              <w:rPr>
                <w:noProof/>
                <w:webHidden/>
              </w:rPr>
              <w:fldChar w:fldCharType="end"/>
            </w:r>
          </w:hyperlink>
        </w:p>
        <w:p w14:paraId="00D16B73" w14:textId="496645D8" w:rsidR="000210A3" w:rsidRDefault="000210A3">
          <w:pPr>
            <w:pStyle w:val="TOC1"/>
            <w:tabs>
              <w:tab w:val="left" w:pos="660"/>
              <w:tab w:val="right" w:leader="dot" w:pos="10351"/>
            </w:tabs>
            <w:rPr>
              <w:rFonts w:eastAsiaTheme="minorEastAsia"/>
              <w:noProof/>
              <w:lang w:eastAsia="en-US"/>
            </w:rPr>
          </w:pPr>
          <w:hyperlink w:anchor="_Toc95915132" w:history="1">
            <w:r w:rsidRPr="002267E1">
              <w:rPr>
                <w:rStyle w:val="Hyperlink"/>
                <w:b/>
                <w:noProof/>
              </w:rPr>
              <w:t>19.</w:t>
            </w:r>
            <w:r>
              <w:rPr>
                <w:rFonts w:eastAsiaTheme="minorEastAsia"/>
                <w:noProof/>
                <w:lang w:eastAsia="en-US"/>
              </w:rPr>
              <w:tab/>
            </w:r>
            <w:r w:rsidRPr="002267E1">
              <w:rPr>
                <w:rStyle w:val="Hyperlink"/>
                <w:b/>
                <w:noProof/>
              </w:rPr>
              <w:t>Limitation of Liability</w:t>
            </w:r>
            <w:r>
              <w:rPr>
                <w:noProof/>
                <w:webHidden/>
              </w:rPr>
              <w:tab/>
            </w:r>
            <w:r>
              <w:rPr>
                <w:noProof/>
                <w:webHidden/>
              </w:rPr>
              <w:fldChar w:fldCharType="begin"/>
            </w:r>
            <w:r>
              <w:rPr>
                <w:noProof/>
                <w:webHidden/>
              </w:rPr>
              <w:instrText xml:space="preserve"> PAGEREF _Toc95915132 \h </w:instrText>
            </w:r>
            <w:r>
              <w:rPr>
                <w:noProof/>
                <w:webHidden/>
              </w:rPr>
            </w:r>
            <w:r>
              <w:rPr>
                <w:noProof/>
                <w:webHidden/>
              </w:rPr>
              <w:fldChar w:fldCharType="separate"/>
            </w:r>
            <w:r>
              <w:rPr>
                <w:noProof/>
                <w:webHidden/>
              </w:rPr>
              <w:t>15</w:t>
            </w:r>
            <w:r>
              <w:rPr>
                <w:noProof/>
                <w:webHidden/>
              </w:rPr>
              <w:fldChar w:fldCharType="end"/>
            </w:r>
          </w:hyperlink>
        </w:p>
        <w:p w14:paraId="7D13C4E2" w14:textId="0E0F9B9C" w:rsidR="000210A3" w:rsidRDefault="000210A3">
          <w:pPr>
            <w:pStyle w:val="TOC1"/>
            <w:tabs>
              <w:tab w:val="right" w:leader="dot" w:pos="10351"/>
            </w:tabs>
            <w:rPr>
              <w:rFonts w:eastAsiaTheme="minorEastAsia"/>
              <w:noProof/>
              <w:lang w:eastAsia="en-US"/>
            </w:rPr>
          </w:pPr>
          <w:hyperlink w:anchor="_Toc95915133" w:history="1">
            <w:r w:rsidRPr="002267E1">
              <w:rPr>
                <w:rStyle w:val="Hyperlink"/>
                <w:b/>
                <w:noProof/>
              </w:rPr>
              <w:t>Appendix A: EasySave Forms and Definitions</w:t>
            </w:r>
            <w:r>
              <w:rPr>
                <w:noProof/>
                <w:webHidden/>
              </w:rPr>
              <w:tab/>
            </w:r>
            <w:r>
              <w:rPr>
                <w:noProof/>
                <w:webHidden/>
              </w:rPr>
              <w:fldChar w:fldCharType="begin"/>
            </w:r>
            <w:r>
              <w:rPr>
                <w:noProof/>
                <w:webHidden/>
              </w:rPr>
              <w:instrText xml:space="preserve"> PAGEREF _Toc95915133 \h </w:instrText>
            </w:r>
            <w:r>
              <w:rPr>
                <w:noProof/>
                <w:webHidden/>
              </w:rPr>
            </w:r>
            <w:r>
              <w:rPr>
                <w:noProof/>
                <w:webHidden/>
              </w:rPr>
              <w:fldChar w:fldCharType="separate"/>
            </w:r>
            <w:r>
              <w:rPr>
                <w:noProof/>
                <w:webHidden/>
              </w:rPr>
              <w:t>16</w:t>
            </w:r>
            <w:r>
              <w:rPr>
                <w:noProof/>
                <w:webHidden/>
              </w:rPr>
              <w:fldChar w:fldCharType="end"/>
            </w:r>
          </w:hyperlink>
        </w:p>
        <w:p w14:paraId="7A751573" w14:textId="716D38B7" w:rsidR="000210A3" w:rsidRDefault="000210A3">
          <w:pPr>
            <w:pStyle w:val="TOC1"/>
            <w:tabs>
              <w:tab w:val="right" w:leader="dot" w:pos="10351"/>
            </w:tabs>
            <w:rPr>
              <w:rFonts w:eastAsiaTheme="minorEastAsia"/>
              <w:noProof/>
              <w:lang w:eastAsia="en-US"/>
            </w:rPr>
          </w:pPr>
          <w:hyperlink w:anchor="_Toc95915134" w:history="1">
            <w:r w:rsidRPr="002267E1">
              <w:rPr>
                <w:rStyle w:val="Hyperlink"/>
                <w:b/>
                <w:noProof/>
              </w:rPr>
              <w:t>Appendix B: EasySave Process Flow Chart</w:t>
            </w:r>
            <w:r>
              <w:rPr>
                <w:noProof/>
                <w:webHidden/>
              </w:rPr>
              <w:tab/>
            </w:r>
            <w:r>
              <w:rPr>
                <w:noProof/>
                <w:webHidden/>
              </w:rPr>
              <w:fldChar w:fldCharType="begin"/>
            </w:r>
            <w:r>
              <w:rPr>
                <w:noProof/>
                <w:webHidden/>
              </w:rPr>
              <w:instrText xml:space="preserve"> PAGEREF _Toc95915134 \h </w:instrText>
            </w:r>
            <w:r>
              <w:rPr>
                <w:noProof/>
                <w:webHidden/>
              </w:rPr>
            </w:r>
            <w:r>
              <w:rPr>
                <w:noProof/>
                <w:webHidden/>
              </w:rPr>
              <w:fldChar w:fldCharType="separate"/>
            </w:r>
            <w:r>
              <w:rPr>
                <w:noProof/>
                <w:webHidden/>
              </w:rPr>
              <w:t>18</w:t>
            </w:r>
            <w:r>
              <w:rPr>
                <w:noProof/>
                <w:webHidden/>
              </w:rPr>
              <w:fldChar w:fldCharType="end"/>
            </w:r>
          </w:hyperlink>
        </w:p>
        <w:p w14:paraId="38C74D31" w14:textId="78C4D230" w:rsidR="005569C9" w:rsidRPr="00A63245" w:rsidRDefault="00513F7A" w:rsidP="00284CBC">
          <w:pPr>
            <w:spacing w:after="0"/>
            <w:sectPr w:rsidR="005569C9" w:rsidRPr="00A63245" w:rsidSect="002C0141">
              <w:headerReference w:type="even" r:id="rId12"/>
              <w:headerReference w:type="default" r:id="rId13"/>
              <w:footerReference w:type="even" r:id="rId14"/>
              <w:footerReference w:type="default" r:id="rId15"/>
              <w:headerReference w:type="first" r:id="rId16"/>
              <w:footerReference w:type="first" r:id="rId17"/>
              <w:pgSz w:w="12240" w:h="16340"/>
              <w:pgMar w:top="1837" w:right="815" w:bottom="1440" w:left="1064" w:header="720" w:footer="720" w:gutter="0"/>
              <w:cols w:space="720"/>
              <w:noEndnote/>
              <w:titlePg/>
              <w:docGrid w:linePitch="299"/>
            </w:sectPr>
          </w:pPr>
          <w:r>
            <w:rPr>
              <w:b/>
              <w:bCs/>
              <w:noProof/>
            </w:rPr>
            <w:fldChar w:fldCharType="end"/>
          </w:r>
        </w:p>
      </w:sdtContent>
    </w:sdt>
    <w:p w14:paraId="50E91F8D" w14:textId="77777777" w:rsidR="005569C9" w:rsidRPr="00052A8A" w:rsidRDefault="005569C9" w:rsidP="00052A8A">
      <w:pPr>
        <w:pStyle w:val="Default"/>
        <w:numPr>
          <w:ilvl w:val="0"/>
          <w:numId w:val="14"/>
        </w:numPr>
        <w:spacing w:before="120"/>
        <w:outlineLvl w:val="0"/>
        <w:rPr>
          <w:b/>
          <w:sz w:val="28"/>
          <w:szCs w:val="28"/>
        </w:rPr>
      </w:pPr>
      <w:r>
        <w:rPr>
          <w:sz w:val="28"/>
          <w:szCs w:val="28"/>
        </w:rPr>
        <w:lastRenderedPageBreak/>
        <w:tab/>
      </w:r>
      <w:bookmarkStart w:id="0" w:name="_Toc95915110"/>
      <w:r w:rsidRPr="00052A8A">
        <w:rPr>
          <w:b/>
          <w:sz w:val="28"/>
          <w:szCs w:val="28"/>
        </w:rPr>
        <w:t>Program Overview</w:t>
      </w:r>
      <w:bookmarkEnd w:id="0"/>
    </w:p>
    <w:p w14:paraId="1A6C3A65" w14:textId="77777777" w:rsidR="005569C9" w:rsidRDefault="005569C9" w:rsidP="005569C9">
      <w:pPr>
        <w:pStyle w:val="Default"/>
        <w:rPr>
          <w:sz w:val="28"/>
          <w:szCs w:val="28"/>
        </w:rPr>
      </w:pPr>
      <w:r>
        <w:rPr>
          <w:sz w:val="28"/>
          <w:szCs w:val="28"/>
        </w:rPr>
        <w:tab/>
      </w:r>
    </w:p>
    <w:p w14:paraId="4508E3D2" w14:textId="21182477" w:rsidR="005569C9" w:rsidRDefault="005569C9" w:rsidP="001C719C">
      <w:pPr>
        <w:pStyle w:val="Default"/>
        <w:ind w:left="720"/>
        <w:jc w:val="both"/>
      </w:pPr>
      <w:r w:rsidRPr="002773CE">
        <w:t xml:space="preserve">The </w:t>
      </w:r>
      <w:r>
        <w:t xml:space="preserve">EasySave </w:t>
      </w:r>
      <w:r w:rsidR="004107A7">
        <w:t>p</w:t>
      </w:r>
      <w:r w:rsidRPr="002773CE">
        <w:t>rogram is open to non-residential customers</w:t>
      </w:r>
      <w:r w:rsidR="00034549">
        <w:t xml:space="preserve"> </w:t>
      </w:r>
      <w:r w:rsidR="00034549" w:rsidRPr="002773CE">
        <w:t xml:space="preserve">within TEP’s service </w:t>
      </w:r>
      <w:r w:rsidR="00034549">
        <w:t>area</w:t>
      </w:r>
      <w:r w:rsidRPr="002773CE">
        <w:t>, including all existing K-12 school facilities</w:t>
      </w:r>
      <w:r w:rsidR="00034549">
        <w:t xml:space="preserve">, </w:t>
      </w:r>
      <w:r w:rsidR="009034BF">
        <w:t>that</w:t>
      </w:r>
      <w:r w:rsidR="009034BF" w:rsidRPr="002773CE">
        <w:t xml:space="preserve"> </w:t>
      </w:r>
      <w:r w:rsidRPr="002773CE">
        <w:t>re</w:t>
      </w:r>
      <w:r>
        <w:t>ceiv</w:t>
      </w:r>
      <w:r w:rsidR="00034549">
        <w:t>e</w:t>
      </w:r>
      <w:r>
        <w:t xml:space="preserve"> service under TEP’s non-</w:t>
      </w:r>
      <w:r w:rsidRPr="002773CE">
        <w:t xml:space="preserve">residential </w:t>
      </w:r>
      <w:r w:rsidR="004107A7">
        <w:t>pricing plans</w:t>
      </w:r>
      <w:r w:rsidRPr="002773CE">
        <w:t>. School facilities include charter</w:t>
      </w:r>
      <w:r>
        <w:t>, private and public schools.</w:t>
      </w:r>
    </w:p>
    <w:p w14:paraId="0118D2CC" w14:textId="77777777" w:rsidR="005569C9" w:rsidRDefault="005569C9" w:rsidP="001C719C">
      <w:pPr>
        <w:pStyle w:val="Default"/>
        <w:ind w:left="720"/>
        <w:jc w:val="both"/>
      </w:pPr>
    </w:p>
    <w:p w14:paraId="305B97FA" w14:textId="77777777" w:rsidR="005569C9" w:rsidRDefault="005569C9" w:rsidP="00052A8A">
      <w:pPr>
        <w:pStyle w:val="Default"/>
        <w:ind w:left="720"/>
        <w:jc w:val="both"/>
      </w:pPr>
      <w:r w:rsidRPr="00A571B9">
        <w:t>Th</w:t>
      </w:r>
      <w:r>
        <w:t>is</w:t>
      </w:r>
      <w:r w:rsidRPr="00A571B9">
        <w:t xml:space="preserve"> Policies and Procedures Manual convey</w:t>
      </w:r>
      <w:r w:rsidR="00034549">
        <w:t>s</w:t>
      </w:r>
      <w:r w:rsidRPr="00A571B9">
        <w:t xml:space="preserve"> the rules, policies and procedures that govern program administration and customer participation. It is a companion document to the Application </w:t>
      </w:r>
      <w:r w:rsidR="00034549">
        <w:t>F</w:t>
      </w:r>
      <w:r w:rsidRPr="00A571B9">
        <w:t xml:space="preserve">orms and program information available on the </w:t>
      </w:r>
      <w:r>
        <w:t>TEP Commercial Energy Solutions</w:t>
      </w:r>
      <w:r w:rsidRPr="00A571B9">
        <w:t xml:space="preserve"> </w:t>
      </w:r>
      <w:r w:rsidR="004107A7">
        <w:t>p</w:t>
      </w:r>
      <w:r w:rsidRPr="00A571B9">
        <w:t>rogram website:</w:t>
      </w:r>
      <w:r w:rsidR="00034549">
        <w:t xml:space="preserve"> </w:t>
      </w:r>
      <w:hyperlink r:id="rId18" w:history="1">
        <w:r w:rsidRPr="00C357E9">
          <w:rPr>
            <w:rStyle w:val="Hyperlink"/>
          </w:rPr>
          <w:t>tepcommercialenergysolutions.com</w:t>
        </w:r>
      </w:hyperlink>
    </w:p>
    <w:p w14:paraId="44E230AE" w14:textId="77777777" w:rsidR="005569C9" w:rsidRDefault="005569C9" w:rsidP="001C719C">
      <w:pPr>
        <w:pStyle w:val="Default"/>
        <w:spacing w:after="100"/>
        <w:ind w:left="720"/>
        <w:jc w:val="both"/>
      </w:pPr>
    </w:p>
    <w:p w14:paraId="347266E7" w14:textId="2B3C629A" w:rsidR="005569C9" w:rsidRPr="00052A8A" w:rsidRDefault="00333A05" w:rsidP="001C719C">
      <w:pPr>
        <w:pStyle w:val="Default"/>
        <w:spacing w:after="100"/>
        <w:ind w:left="720"/>
        <w:jc w:val="both"/>
        <w:rPr>
          <w:b/>
        </w:rPr>
      </w:pPr>
      <w:r>
        <w:rPr>
          <w:b/>
        </w:rPr>
        <w:t>Program Highlights</w:t>
      </w:r>
    </w:p>
    <w:p w14:paraId="453209A3" w14:textId="50090BEA" w:rsidR="00791171" w:rsidRPr="00052A8A" w:rsidRDefault="005569C9" w:rsidP="0016464F">
      <w:pPr>
        <w:pStyle w:val="Default"/>
        <w:numPr>
          <w:ilvl w:val="0"/>
          <w:numId w:val="12"/>
        </w:numPr>
        <w:spacing w:after="100"/>
        <w:jc w:val="both"/>
      </w:pPr>
      <w:r w:rsidRPr="00052A8A">
        <w:t>R</w:t>
      </w:r>
      <w:r w:rsidR="00791171" w:rsidRPr="00052A8A">
        <w:t>ebates are c</w:t>
      </w:r>
      <w:r w:rsidRPr="00052A8A">
        <w:t>apped</w:t>
      </w:r>
      <w:r w:rsidR="009034BF">
        <w:t xml:space="preserve"> at</w:t>
      </w:r>
      <w:r w:rsidR="002227F2">
        <w:t xml:space="preserve"> </w:t>
      </w:r>
      <w:r w:rsidR="00671428">
        <w:t xml:space="preserve">up to </w:t>
      </w:r>
      <w:r w:rsidR="006E38DB">
        <w:t xml:space="preserve">50 </w:t>
      </w:r>
      <w:r w:rsidR="00034549">
        <w:t>percent</w:t>
      </w:r>
      <w:r w:rsidR="00034549" w:rsidRPr="00052A8A">
        <w:t xml:space="preserve"> </w:t>
      </w:r>
      <w:r w:rsidR="00791171" w:rsidRPr="00052A8A">
        <w:t xml:space="preserve">of </w:t>
      </w:r>
      <w:r w:rsidR="004107A7">
        <w:t>i</w:t>
      </w:r>
      <w:r w:rsidR="00791171" w:rsidRPr="00052A8A">
        <w:t xml:space="preserve">ncremental </w:t>
      </w:r>
      <w:r w:rsidR="004107A7">
        <w:t>m</w:t>
      </w:r>
      <w:r w:rsidR="00791171" w:rsidRPr="00052A8A">
        <w:t xml:space="preserve">easure </w:t>
      </w:r>
      <w:r w:rsidR="004107A7">
        <w:t>c</w:t>
      </w:r>
      <w:r w:rsidR="00791171" w:rsidRPr="00052A8A">
        <w:t>osts.</w:t>
      </w:r>
      <w:r w:rsidR="00E438E8" w:rsidRPr="00052A8A">
        <w:t xml:space="preserve"> </w:t>
      </w:r>
      <w:r w:rsidR="0016464F">
        <w:t>The i</w:t>
      </w:r>
      <w:r w:rsidR="0016464F" w:rsidRPr="002773CE">
        <w:t>ncremental measure cost is the difference betwee</w:t>
      </w:r>
      <w:r w:rsidR="0016464F">
        <w:t>n the cost of installing a high-</w:t>
      </w:r>
      <w:r w:rsidR="0016464F" w:rsidRPr="002773CE">
        <w:t>efficiency piece of equipment and the lower cost of</w:t>
      </w:r>
      <w:r w:rsidR="0016464F">
        <w:t xml:space="preserve"> installing a standard-efficiency</w:t>
      </w:r>
      <w:r w:rsidR="0016464F" w:rsidRPr="002773CE">
        <w:t xml:space="preserve"> piece of equipment.</w:t>
      </w:r>
    </w:p>
    <w:p w14:paraId="2BA89C77" w14:textId="77777777" w:rsidR="005569C9" w:rsidRPr="00052A8A" w:rsidRDefault="00791171" w:rsidP="001C719C">
      <w:pPr>
        <w:pStyle w:val="Default"/>
        <w:numPr>
          <w:ilvl w:val="0"/>
          <w:numId w:val="12"/>
        </w:numPr>
        <w:spacing w:after="100"/>
        <w:jc w:val="both"/>
      </w:pPr>
      <w:r w:rsidRPr="00052A8A">
        <w:t xml:space="preserve">Rebates for individual measures </w:t>
      </w:r>
      <w:r w:rsidR="005569C9" w:rsidRPr="00052A8A">
        <w:t>may be adjusted based on market trends and participation</w:t>
      </w:r>
      <w:r w:rsidRPr="00052A8A">
        <w:t>.</w:t>
      </w:r>
    </w:p>
    <w:p w14:paraId="7E874A6F" w14:textId="27C0C461" w:rsidR="006A699E" w:rsidRDefault="006A699E" w:rsidP="001C719C">
      <w:pPr>
        <w:pStyle w:val="Default"/>
        <w:numPr>
          <w:ilvl w:val="0"/>
          <w:numId w:val="12"/>
        </w:numPr>
        <w:spacing w:after="100"/>
        <w:jc w:val="both"/>
      </w:pPr>
      <w:r w:rsidRPr="006A699E">
        <w:t xml:space="preserve">Each customer </w:t>
      </w:r>
      <w:r w:rsidR="00041C12">
        <w:t xml:space="preserve">may </w:t>
      </w:r>
      <w:r w:rsidRPr="006A699E">
        <w:t>receive up to $600,000 plus 50</w:t>
      </w:r>
      <w:r w:rsidR="00041C12">
        <w:t xml:space="preserve"> percent</w:t>
      </w:r>
      <w:r w:rsidRPr="006A699E">
        <w:t xml:space="preserve"> of any remaining eligible incentives in rebates </w:t>
      </w:r>
      <w:r w:rsidR="00041C12">
        <w:t>annually</w:t>
      </w:r>
      <w:r w:rsidRPr="006A699E">
        <w:t xml:space="preserve"> for each year that the program is in effect. The annual period corresponds to the calendar year. </w:t>
      </w:r>
      <w:r>
        <w:t>See section 1.2 for more details.</w:t>
      </w:r>
    </w:p>
    <w:p w14:paraId="273F6FEC" w14:textId="52EFD800" w:rsidR="005569C9" w:rsidRPr="00052A8A" w:rsidRDefault="005569C9" w:rsidP="001C719C">
      <w:pPr>
        <w:pStyle w:val="Default"/>
        <w:numPr>
          <w:ilvl w:val="0"/>
          <w:numId w:val="12"/>
        </w:numPr>
        <w:spacing w:after="100"/>
        <w:jc w:val="both"/>
      </w:pPr>
      <w:r w:rsidRPr="00052A8A">
        <w:t>All proposals must be completed within</w:t>
      </w:r>
      <w:r w:rsidR="009C7536" w:rsidRPr="00052A8A">
        <w:t xml:space="preserve"> 45 days of </w:t>
      </w:r>
      <w:r w:rsidR="00034549">
        <w:t xml:space="preserve">an approved </w:t>
      </w:r>
      <w:r w:rsidR="009C7536" w:rsidRPr="00052A8A">
        <w:t xml:space="preserve">pre-inspection, signed change order, an executed Participation Agreement </w:t>
      </w:r>
      <w:r w:rsidR="00034549">
        <w:t>(</w:t>
      </w:r>
      <w:r w:rsidR="009C7536" w:rsidRPr="00052A8A">
        <w:t>in the event there is no pre-inspection</w:t>
      </w:r>
      <w:r w:rsidR="00034549">
        <w:t>)</w:t>
      </w:r>
      <w:r w:rsidR="009C7536" w:rsidRPr="00052A8A">
        <w:t xml:space="preserve"> or by </w:t>
      </w:r>
      <w:r w:rsidR="00BF4BF7">
        <w:t>December 1</w:t>
      </w:r>
      <w:r w:rsidR="009C7536" w:rsidRPr="00052A8A">
        <w:t xml:space="preserve"> of the program year</w:t>
      </w:r>
      <w:r w:rsidRPr="00052A8A">
        <w:t xml:space="preserve"> that they are submitted</w:t>
      </w:r>
      <w:r w:rsidR="00481F33">
        <w:t>, whichever is earlier.</w:t>
      </w:r>
    </w:p>
    <w:p w14:paraId="47B58447" w14:textId="77777777" w:rsidR="005569C9" w:rsidRPr="00052A8A" w:rsidRDefault="005569C9" w:rsidP="001C719C">
      <w:pPr>
        <w:pStyle w:val="Default"/>
        <w:numPr>
          <w:ilvl w:val="0"/>
          <w:numId w:val="12"/>
        </w:numPr>
        <w:spacing w:after="100"/>
        <w:jc w:val="both"/>
      </w:pPr>
      <w:r w:rsidRPr="00052A8A">
        <w:t>Proposals not completed within the program year will be cancelled</w:t>
      </w:r>
      <w:r w:rsidR="00034549">
        <w:t>. Such</w:t>
      </w:r>
      <w:r w:rsidR="00791171" w:rsidRPr="00052A8A">
        <w:t xml:space="preserve"> proposals may be resubmitted </w:t>
      </w:r>
      <w:r w:rsidR="00034549">
        <w:t>as a new application</w:t>
      </w:r>
      <w:r w:rsidR="00791171" w:rsidRPr="00052A8A">
        <w:t xml:space="preserve"> </w:t>
      </w:r>
      <w:r w:rsidR="00034549">
        <w:t>for the</w:t>
      </w:r>
      <w:r w:rsidR="00791171" w:rsidRPr="00052A8A">
        <w:t xml:space="preserve"> year that the project </w:t>
      </w:r>
      <w:r w:rsidR="00034549">
        <w:t xml:space="preserve">will be </w:t>
      </w:r>
      <w:r w:rsidR="00791171" w:rsidRPr="00052A8A">
        <w:t>completed.</w:t>
      </w:r>
    </w:p>
    <w:p w14:paraId="19A085F1" w14:textId="77777777" w:rsidR="0014590A" w:rsidRPr="004B717E" w:rsidRDefault="0014590A" w:rsidP="00BF052F">
      <w:pPr>
        <w:pStyle w:val="Default"/>
        <w:spacing w:after="100"/>
        <w:jc w:val="both"/>
      </w:pPr>
    </w:p>
    <w:p w14:paraId="3E3F227A" w14:textId="77777777" w:rsidR="005569C9" w:rsidRPr="00052A8A" w:rsidRDefault="005569C9" w:rsidP="00052A8A">
      <w:pPr>
        <w:pStyle w:val="Default"/>
        <w:spacing w:after="100"/>
        <w:ind w:left="720"/>
        <w:outlineLvl w:val="0"/>
        <w:rPr>
          <w:b/>
          <w:sz w:val="28"/>
          <w:szCs w:val="28"/>
        </w:rPr>
      </w:pPr>
      <w:bookmarkStart w:id="1" w:name="_Toc95915111"/>
      <w:r w:rsidRPr="00052A8A">
        <w:rPr>
          <w:b/>
          <w:sz w:val="28"/>
          <w:szCs w:val="28"/>
        </w:rPr>
        <w:t>1.1      Incentives</w:t>
      </w:r>
      <w:bookmarkEnd w:id="1"/>
    </w:p>
    <w:p w14:paraId="171A7771" w14:textId="10257037" w:rsidR="005569C9" w:rsidRPr="0044316E" w:rsidRDefault="00791171" w:rsidP="00CE5453">
      <w:pPr>
        <w:pStyle w:val="Default"/>
        <w:spacing w:after="120"/>
        <w:ind w:left="720"/>
        <w:rPr>
          <w:rFonts w:asciiTheme="minorHAnsi" w:hAnsiTheme="minorHAnsi" w:cstheme="minorHAnsi"/>
        </w:rPr>
      </w:pPr>
      <w:r w:rsidRPr="0044316E">
        <w:rPr>
          <w:rFonts w:asciiTheme="minorHAnsi" w:hAnsiTheme="minorHAnsi" w:cstheme="minorHAnsi"/>
        </w:rPr>
        <w:t>Prescriptive i</w:t>
      </w:r>
      <w:r w:rsidR="005569C9" w:rsidRPr="0044316E">
        <w:rPr>
          <w:rFonts w:asciiTheme="minorHAnsi" w:hAnsiTheme="minorHAnsi" w:cstheme="minorHAnsi"/>
        </w:rPr>
        <w:t xml:space="preserve">ncentives are available for energy efficient equipment upgrades and replacements such as lighting, HVAC (heating, ventilation and air-conditioning), </w:t>
      </w:r>
      <w:r w:rsidR="005569C9" w:rsidRPr="0035018D">
        <w:rPr>
          <w:rFonts w:asciiTheme="minorHAnsi" w:hAnsiTheme="minorHAnsi" w:cstheme="minorHAnsi"/>
        </w:rPr>
        <w:t xml:space="preserve">refrigeration and motors, food service and miscellaneous equipment. Incentives are </w:t>
      </w:r>
      <w:r w:rsidR="0035018D" w:rsidRPr="0035018D">
        <w:rPr>
          <w:rFonts w:asciiTheme="minorHAnsi" w:hAnsiTheme="minorHAnsi" w:cstheme="minorHAnsi"/>
        </w:rPr>
        <w:t>capped</w:t>
      </w:r>
      <w:r w:rsidR="009034BF">
        <w:rPr>
          <w:rFonts w:asciiTheme="minorHAnsi" w:hAnsiTheme="minorHAnsi" w:cstheme="minorHAnsi"/>
        </w:rPr>
        <w:t xml:space="preserve"> at</w:t>
      </w:r>
      <w:r w:rsidR="00172CBC">
        <w:rPr>
          <w:rFonts w:asciiTheme="minorHAnsi" w:hAnsiTheme="minorHAnsi" w:cstheme="minorHAnsi"/>
        </w:rPr>
        <w:t xml:space="preserve"> </w:t>
      </w:r>
      <w:r w:rsidR="00671428">
        <w:rPr>
          <w:rFonts w:asciiTheme="minorHAnsi" w:hAnsiTheme="minorHAnsi" w:cstheme="minorHAnsi"/>
        </w:rPr>
        <w:t>up to</w:t>
      </w:r>
      <w:r w:rsidR="0035018D" w:rsidRPr="0035018D">
        <w:rPr>
          <w:rFonts w:asciiTheme="minorHAnsi" w:hAnsiTheme="minorHAnsi" w:cstheme="minorHAnsi"/>
        </w:rPr>
        <w:t xml:space="preserve"> </w:t>
      </w:r>
      <w:r w:rsidR="006E38DB">
        <w:rPr>
          <w:rFonts w:asciiTheme="minorHAnsi" w:hAnsiTheme="minorHAnsi" w:cstheme="minorHAnsi"/>
        </w:rPr>
        <w:t xml:space="preserve">50 </w:t>
      </w:r>
      <w:r w:rsidR="00034549">
        <w:rPr>
          <w:rFonts w:asciiTheme="minorHAnsi" w:hAnsiTheme="minorHAnsi" w:cstheme="minorHAnsi"/>
        </w:rPr>
        <w:t xml:space="preserve">percent </w:t>
      </w:r>
      <w:r w:rsidR="0035018D" w:rsidRPr="0035018D">
        <w:rPr>
          <w:rFonts w:asciiTheme="minorHAnsi" w:hAnsiTheme="minorHAnsi" w:cstheme="minorHAnsi"/>
        </w:rPr>
        <w:t>of the incremental measure costs</w:t>
      </w:r>
      <w:r w:rsidR="00172CBC">
        <w:rPr>
          <w:rFonts w:asciiTheme="minorHAnsi" w:hAnsiTheme="minorHAnsi" w:cstheme="minorHAnsi"/>
        </w:rPr>
        <w:t xml:space="preserve"> on selected measures</w:t>
      </w:r>
      <w:r w:rsidR="0035018D" w:rsidRPr="0035018D">
        <w:rPr>
          <w:rFonts w:asciiTheme="minorHAnsi" w:hAnsiTheme="minorHAnsi" w:cstheme="minorHAnsi"/>
        </w:rPr>
        <w:t>.</w:t>
      </w:r>
    </w:p>
    <w:p w14:paraId="6D64EAB6" w14:textId="29DA20E9" w:rsidR="005569C9" w:rsidRPr="0044316E" w:rsidRDefault="005569C9" w:rsidP="00CE5453">
      <w:pPr>
        <w:pStyle w:val="Default"/>
        <w:ind w:left="720"/>
        <w:rPr>
          <w:rFonts w:asciiTheme="minorHAnsi" w:hAnsiTheme="minorHAnsi" w:cstheme="minorHAnsi"/>
        </w:rPr>
      </w:pPr>
      <w:r w:rsidRPr="0044316E">
        <w:rPr>
          <w:rFonts w:asciiTheme="minorHAnsi" w:hAnsiTheme="minorHAnsi" w:cstheme="minorHAnsi"/>
        </w:rPr>
        <w:t xml:space="preserve">Customer projects in their entirety must be submitted and completed under only one of TEP’s </w:t>
      </w:r>
      <w:r w:rsidR="004107A7">
        <w:rPr>
          <w:rFonts w:asciiTheme="minorHAnsi" w:hAnsiTheme="minorHAnsi" w:cstheme="minorHAnsi"/>
        </w:rPr>
        <w:t>p</w:t>
      </w:r>
      <w:r w:rsidRPr="0044316E">
        <w:rPr>
          <w:rFonts w:asciiTheme="minorHAnsi" w:hAnsiTheme="minorHAnsi" w:cstheme="minorHAnsi"/>
        </w:rPr>
        <w:t xml:space="preserve">rograms: EasySave, EasySave Plus, Schools Energy Efficiency or New </w:t>
      </w:r>
      <w:r w:rsidRPr="0044316E">
        <w:rPr>
          <w:rFonts w:asciiTheme="minorHAnsi" w:hAnsiTheme="minorHAnsi" w:cstheme="minorHAnsi"/>
        </w:rPr>
        <w:lastRenderedPageBreak/>
        <w:t xml:space="preserve">Construction. Since these programs have different requirements and benefits, the customer and contractor must jointly determine </w:t>
      </w:r>
      <w:r w:rsidR="006C3A3C">
        <w:rPr>
          <w:rFonts w:asciiTheme="minorHAnsi" w:hAnsiTheme="minorHAnsi" w:cstheme="minorHAnsi"/>
        </w:rPr>
        <w:t>the</w:t>
      </w:r>
      <w:r w:rsidR="006C3A3C" w:rsidRPr="0044316E">
        <w:rPr>
          <w:rFonts w:asciiTheme="minorHAnsi" w:hAnsiTheme="minorHAnsi" w:cstheme="minorHAnsi"/>
        </w:rPr>
        <w:t xml:space="preserve"> </w:t>
      </w:r>
      <w:r w:rsidRPr="0044316E">
        <w:rPr>
          <w:rFonts w:asciiTheme="minorHAnsi" w:hAnsiTheme="minorHAnsi" w:cstheme="minorHAnsi"/>
        </w:rPr>
        <w:t xml:space="preserve">program </w:t>
      </w:r>
      <w:r w:rsidR="00C3515C">
        <w:rPr>
          <w:rFonts w:asciiTheme="minorHAnsi" w:hAnsiTheme="minorHAnsi" w:cstheme="minorHAnsi"/>
        </w:rPr>
        <w:t xml:space="preserve">in </w:t>
      </w:r>
      <w:r w:rsidR="006C3A3C">
        <w:rPr>
          <w:rFonts w:asciiTheme="minorHAnsi" w:hAnsiTheme="minorHAnsi" w:cstheme="minorHAnsi"/>
        </w:rPr>
        <w:t>which to apply</w:t>
      </w:r>
      <w:r w:rsidRPr="0044316E">
        <w:rPr>
          <w:rFonts w:asciiTheme="minorHAnsi" w:hAnsiTheme="minorHAnsi" w:cstheme="minorHAnsi"/>
        </w:rPr>
        <w:t xml:space="preserve">.  </w:t>
      </w:r>
    </w:p>
    <w:p w14:paraId="538D3EF4" w14:textId="77777777" w:rsidR="005569C9" w:rsidRDefault="005569C9" w:rsidP="00CE5453">
      <w:pPr>
        <w:pStyle w:val="Default"/>
        <w:ind w:left="720"/>
      </w:pPr>
    </w:p>
    <w:p w14:paraId="6CB4F3C6" w14:textId="77777777" w:rsidR="005569C9" w:rsidRDefault="005569C9" w:rsidP="00CE5453">
      <w:pPr>
        <w:pStyle w:val="Default"/>
        <w:ind w:left="720"/>
      </w:pPr>
      <w:r>
        <w:t xml:space="preserve">Program staff will be available during regular business hours </w:t>
      </w:r>
      <w:r w:rsidR="00744288">
        <w:t xml:space="preserve">of 8 a.m.-5 p.m. </w:t>
      </w:r>
      <w:r>
        <w:t xml:space="preserve">to answer questions regarding the EasySave </w:t>
      </w:r>
      <w:r w:rsidR="006C3A3C">
        <w:t>p</w:t>
      </w:r>
      <w:r>
        <w:t>rogram and other TEP commercial rebate options.</w:t>
      </w:r>
    </w:p>
    <w:p w14:paraId="74F8EAAA" w14:textId="77777777" w:rsidR="003618EE" w:rsidRDefault="003618EE" w:rsidP="00CE5453">
      <w:pPr>
        <w:pStyle w:val="Default"/>
        <w:ind w:left="720"/>
      </w:pPr>
    </w:p>
    <w:p w14:paraId="0C4F5FCA" w14:textId="4F6C488A" w:rsidR="0045225D" w:rsidRDefault="003618EE" w:rsidP="00D235C6">
      <w:pPr>
        <w:pStyle w:val="Default"/>
        <w:ind w:left="720"/>
      </w:pPr>
      <w:r w:rsidRPr="003618EE">
        <w:t xml:space="preserve">If the project scope </w:t>
      </w:r>
      <w:r w:rsidR="00744288">
        <w:t>changes</w:t>
      </w:r>
      <w:r w:rsidRPr="003618EE">
        <w:t xml:space="preserve"> or </w:t>
      </w:r>
      <w:r>
        <w:t xml:space="preserve">the </w:t>
      </w:r>
      <w:r w:rsidR="00AB46DA" w:rsidRPr="003062F6">
        <w:t>P</w:t>
      </w:r>
      <w:r w:rsidRPr="003062F6">
        <w:t xml:space="preserve">roject </w:t>
      </w:r>
      <w:r w:rsidR="00AB46DA" w:rsidRPr="00052A8A">
        <w:t>C</w:t>
      </w:r>
      <w:r w:rsidR="00AB46DA" w:rsidRPr="003062F6">
        <w:t xml:space="preserve">ompletion </w:t>
      </w:r>
      <w:r w:rsidR="00AB46DA" w:rsidRPr="00052A8A">
        <w:t>F</w:t>
      </w:r>
      <w:r w:rsidRPr="003062F6">
        <w:t xml:space="preserve">orm </w:t>
      </w:r>
      <w:r w:rsidR="00AB46DA" w:rsidRPr="00052A8A">
        <w:t>incentive</w:t>
      </w:r>
      <w:r w:rsidR="00AB46DA" w:rsidRPr="003062F6">
        <w:t xml:space="preserve"> </w:t>
      </w:r>
      <w:r w:rsidR="00AB46DA" w:rsidRPr="00052A8A">
        <w:t>amount</w:t>
      </w:r>
      <w:r w:rsidR="00AB46DA" w:rsidRPr="003062F6">
        <w:t xml:space="preserve"> </w:t>
      </w:r>
      <w:r w:rsidRPr="003062F6">
        <w:t xml:space="preserve">differs from the </w:t>
      </w:r>
      <w:r w:rsidR="00AB46DA" w:rsidRPr="00052A8A">
        <w:t>P</w:t>
      </w:r>
      <w:r w:rsidRPr="003062F6">
        <w:t xml:space="preserve">articipation </w:t>
      </w:r>
      <w:r w:rsidR="00AB46DA" w:rsidRPr="00052A8A">
        <w:t>A</w:t>
      </w:r>
      <w:r w:rsidRPr="003062F6">
        <w:t xml:space="preserve">greement </w:t>
      </w:r>
      <w:r w:rsidR="00AB46DA" w:rsidRPr="00052A8A">
        <w:t>incentive</w:t>
      </w:r>
      <w:r w:rsidR="00AB46DA" w:rsidRPr="003062F6">
        <w:t xml:space="preserve"> </w:t>
      </w:r>
      <w:r w:rsidRPr="003062F6">
        <w:t>amount, the project will be reviewed considering funding availability.</w:t>
      </w:r>
      <w:r w:rsidRPr="003618EE">
        <w:t xml:space="preserve"> If the funding requested is higher than the funding initially reserved, any reserved funding associated with an approved portion of the project will be paid. The additional portion will be reviewed by the TEP Commercial Energy Solutions </w:t>
      </w:r>
      <w:r w:rsidR="006C3A3C">
        <w:t>t</w:t>
      </w:r>
      <w:r w:rsidRPr="003618EE">
        <w:t>eam. If the additional portion is approved, rebate funding is available</w:t>
      </w:r>
      <w:r w:rsidR="0045225D">
        <w:t xml:space="preserve"> </w:t>
      </w:r>
      <w:r w:rsidRPr="003618EE">
        <w:t xml:space="preserve">and program </w:t>
      </w:r>
      <w:r w:rsidR="0045225D">
        <w:t>funding limits have not been met,</w:t>
      </w:r>
      <w:r w:rsidR="0045225D" w:rsidRPr="003618EE">
        <w:t xml:space="preserve"> </w:t>
      </w:r>
      <w:r w:rsidRPr="003618EE">
        <w:t>the additional incentive amount</w:t>
      </w:r>
      <w:r w:rsidR="0045225D">
        <w:t xml:space="preserve"> </w:t>
      </w:r>
      <w:r w:rsidR="0045225D" w:rsidRPr="00DF3B3D">
        <w:t>not to exceed</w:t>
      </w:r>
      <w:r w:rsidRPr="00DF3B3D">
        <w:rPr>
          <w:i/>
        </w:rPr>
        <w:t xml:space="preserve"> </w:t>
      </w:r>
      <w:r w:rsidRPr="00DF3B3D">
        <w:t>10</w:t>
      </w:r>
      <w:r w:rsidR="0045225D" w:rsidRPr="00DF3B3D">
        <w:t xml:space="preserve"> percent above </w:t>
      </w:r>
      <w:r w:rsidRPr="00DF3B3D">
        <w:t>the reserved funding</w:t>
      </w:r>
      <w:r w:rsidRPr="003351C8">
        <w:t xml:space="preserve"> </w:t>
      </w:r>
      <w:r w:rsidRPr="003618EE">
        <w:t>will be added to the project total.</w:t>
      </w:r>
      <w:r w:rsidR="005009E9" w:rsidRPr="005009E9">
        <w:rPr>
          <w:rFonts w:asciiTheme="minorHAnsi" w:hAnsiTheme="minorHAnsi" w:cstheme="minorHAnsi"/>
        </w:rPr>
        <w:t xml:space="preserve"> </w:t>
      </w:r>
      <w:bookmarkStart w:id="2" w:name="_Hlk73086828"/>
      <w:r w:rsidR="005009E9" w:rsidRPr="004D7801">
        <w:rPr>
          <w:rFonts w:asciiTheme="minorHAnsi" w:hAnsiTheme="minorHAnsi" w:cstheme="minorHAnsi"/>
        </w:rPr>
        <w:t>Eligible rebate funds that exceed 10 percent</w:t>
      </w:r>
      <w:r w:rsidR="005009E9">
        <w:rPr>
          <w:rFonts w:asciiTheme="minorHAnsi" w:hAnsiTheme="minorHAnsi" w:cstheme="minorHAnsi"/>
        </w:rPr>
        <w:t xml:space="preserve"> above the reserved funding amount</w:t>
      </w:r>
      <w:r w:rsidR="005009E9" w:rsidRPr="004D7801">
        <w:rPr>
          <w:rFonts w:asciiTheme="minorHAnsi" w:hAnsiTheme="minorHAnsi" w:cstheme="minorHAnsi"/>
        </w:rPr>
        <w:t xml:space="preserve"> will be subject to program management review and approval.</w:t>
      </w:r>
      <w:r w:rsidR="005009E9">
        <w:rPr>
          <w:rFonts w:asciiTheme="minorHAnsi" w:hAnsiTheme="minorHAnsi" w:cstheme="minorHAnsi"/>
        </w:rPr>
        <w:t xml:space="preserve"> Approval of funds is not guaranteed.</w:t>
      </w:r>
      <w:bookmarkEnd w:id="2"/>
    </w:p>
    <w:p w14:paraId="5C1A8EBD" w14:textId="77777777" w:rsidR="0045225D" w:rsidRDefault="0045225D" w:rsidP="00CE5453">
      <w:pPr>
        <w:pStyle w:val="Default"/>
        <w:ind w:left="720"/>
      </w:pPr>
    </w:p>
    <w:p w14:paraId="01E2D802" w14:textId="77777777" w:rsidR="003618EE" w:rsidRDefault="003618EE" w:rsidP="00CE5453">
      <w:pPr>
        <w:pStyle w:val="Default"/>
        <w:ind w:left="720"/>
      </w:pPr>
      <w:bookmarkStart w:id="3" w:name="_Hlk73086860"/>
      <w:r w:rsidRPr="003618EE">
        <w:t xml:space="preserve">If </w:t>
      </w:r>
      <w:r w:rsidR="0045225D">
        <w:t>no</w:t>
      </w:r>
      <w:r w:rsidRPr="003618EE">
        <w:t xml:space="preserve"> rebate funding </w:t>
      </w:r>
      <w:r w:rsidR="0045225D">
        <w:t xml:space="preserve">is </w:t>
      </w:r>
      <w:r w:rsidRPr="003618EE">
        <w:t xml:space="preserve">available or the </w:t>
      </w:r>
      <w:r w:rsidR="0045225D">
        <w:t xml:space="preserve">project has met the funding limits, </w:t>
      </w:r>
      <w:r w:rsidRPr="003618EE">
        <w:t xml:space="preserve">the excess incentive requested will be denied. </w:t>
      </w:r>
      <w:bookmarkEnd w:id="3"/>
      <w:r w:rsidRPr="003618EE">
        <w:t xml:space="preserve">If the </w:t>
      </w:r>
      <w:r>
        <w:t>project completion form</w:t>
      </w:r>
      <w:r w:rsidRPr="003618EE">
        <w:t xml:space="preserve"> amount is</w:t>
      </w:r>
      <w:r w:rsidR="0045225D">
        <w:t xml:space="preserve"> lower than the </w:t>
      </w:r>
      <w:r w:rsidRPr="003618EE">
        <w:t>reserved funding</w:t>
      </w:r>
      <w:r w:rsidR="0045225D">
        <w:t xml:space="preserve"> amount</w:t>
      </w:r>
      <w:r w:rsidRPr="003618EE">
        <w:t>, the approved project will be paid at the lower amount</w:t>
      </w:r>
      <w:r w:rsidR="0045225D">
        <w:t>.</w:t>
      </w:r>
    </w:p>
    <w:p w14:paraId="7685750D" w14:textId="77777777" w:rsidR="004063FB" w:rsidRDefault="004063FB" w:rsidP="00CE5453">
      <w:pPr>
        <w:pStyle w:val="Default"/>
        <w:ind w:left="720"/>
      </w:pPr>
    </w:p>
    <w:p w14:paraId="78E879FE" w14:textId="77777777" w:rsidR="004063FB" w:rsidRPr="00052A8A" w:rsidRDefault="004063FB" w:rsidP="004063FB">
      <w:pPr>
        <w:pStyle w:val="Default"/>
        <w:spacing w:after="100"/>
        <w:ind w:left="720"/>
        <w:outlineLvl w:val="0"/>
        <w:rPr>
          <w:b/>
          <w:sz w:val="28"/>
          <w:szCs w:val="28"/>
        </w:rPr>
      </w:pPr>
      <w:bookmarkStart w:id="4" w:name="_Toc95915112"/>
      <w:r w:rsidRPr="00052A8A">
        <w:rPr>
          <w:b/>
          <w:sz w:val="28"/>
          <w:szCs w:val="28"/>
        </w:rPr>
        <w:t>1.</w:t>
      </w:r>
      <w:r>
        <w:rPr>
          <w:b/>
          <w:sz w:val="28"/>
          <w:szCs w:val="28"/>
        </w:rPr>
        <w:t>2</w:t>
      </w:r>
      <w:r w:rsidRPr="00052A8A">
        <w:rPr>
          <w:b/>
          <w:sz w:val="28"/>
          <w:szCs w:val="28"/>
        </w:rPr>
        <w:t xml:space="preserve">      </w:t>
      </w:r>
      <w:r>
        <w:rPr>
          <w:b/>
          <w:sz w:val="28"/>
          <w:szCs w:val="28"/>
        </w:rPr>
        <w:t>Customer Caps</w:t>
      </w:r>
      <w:bookmarkEnd w:id="4"/>
    </w:p>
    <w:p w14:paraId="099D0960" w14:textId="77777777" w:rsidR="004063FB" w:rsidRDefault="004063FB" w:rsidP="00CE5453">
      <w:pPr>
        <w:pStyle w:val="Default"/>
        <w:ind w:left="720"/>
      </w:pPr>
    </w:p>
    <w:p w14:paraId="687D6457" w14:textId="539A5626" w:rsidR="004063FB" w:rsidRDefault="004063FB" w:rsidP="007C5093">
      <w:pPr>
        <w:pStyle w:val="Default"/>
        <w:spacing w:after="120"/>
        <w:ind w:left="720"/>
      </w:pPr>
      <w:r w:rsidRPr="00E40A84">
        <w:rPr>
          <w:rFonts w:asciiTheme="minorHAnsi" w:hAnsiTheme="minorHAnsi" w:cstheme="minorHAnsi"/>
        </w:rPr>
        <w:t xml:space="preserve">Each customer </w:t>
      </w:r>
      <w:r w:rsidR="00041C12">
        <w:rPr>
          <w:rFonts w:asciiTheme="minorHAnsi" w:hAnsiTheme="minorHAnsi" w:cstheme="minorHAnsi"/>
        </w:rPr>
        <w:t>may</w:t>
      </w:r>
      <w:r w:rsidRPr="00E40A84">
        <w:rPr>
          <w:rFonts w:asciiTheme="minorHAnsi" w:hAnsiTheme="minorHAnsi" w:cstheme="minorHAnsi"/>
        </w:rPr>
        <w:t xml:space="preserve"> receive up to $</w:t>
      </w:r>
      <w:r>
        <w:rPr>
          <w:rFonts w:asciiTheme="minorHAnsi" w:hAnsiTheme="minorHAnsi" w:cstheme="minorHAnsi"/>
        </w:rPr>
        <w:t>600,000</w:t>
      </w:r>
      <w:r w:rsidR="00534AD8">
        <w:rPr>
          <w:rFonts w:asciiTheme="minorHAnsi" w:hAnsiTheme="minorHAnsi" w:cstheme="minorHAnsi"/>
        </w:rPr>
        <w:t xml:space="preserve"> plus 50</w:t>
      </w:r>
      <w:r w:rsidR="00041C12">
        <w:rPr>
          <w:rFonts w:asciiTheme="minorHAnsi" w:hAnsiTheme="minorHAnsi" w:cstheme="minorHAnsi"/>
        </w:rPr>
        <w:t xml:space="preserve"> percent</w:t>
      </w:r>
      <w:r w:rsidR="00534AD8">
        <w:rPr>
          <w:rFonts w:asciiTheme="minorHAnsi" w:hAnsiTheme="minorHAnsi" w:cstheme="minorHAnsi"/>
        </w:rPr>
        <w:t xml:space="preserve"> of any remaining eligible incentives</w:t>
      </w:r>
      <w:r w:rsidRPr="00E40A84">
        <w:rPr>
          <w:rFonts w:asciiTheme="minorHAnsi" w:hAnsiTheme="minorHAnsi" w:cstheme="minorHAnsi"/>
        </w:rPr>
        <w:t xml:space="preserve"> in rebates </w:t>
      </w:r>
      <w:r w:rsidR="00041C12">
        <w:rPr>
          <w:rFonts w:asciiTheme="minorHAnsi" w:hAnsiTheme="minorHAnsi" w:cstheme="minorHAnsi"/>
        </w:rPr>
        <w:t>annually</w:t>
      </w:r>
      <w:r w:rsidRPr="00E40A84">
        <w:rPr>
          <w:rFonts w:asciiTheme="minorHAnsi" w:hAnsiTheme="minorHAnsi" w:cstheme="minorHAnsi"/>
        </w:rPr>
        <w:t xml:space="preserve"> for each year that the program is in effect. The annual period </w:t>
      </w:r>
      <w:r w:rsidR="00041C12">
        <w:rPr>
          <w:rFonts w:asciiTheme="minorHAnsi" w:hAnsiTheme="minorHAnsi" w:cstheme="minorHAnsi"/>
        </w:rPr>
        <w:t>is the</w:t>
      </w:r>
      <w:r>
        <w:rPr>
          <w:rFonts w:asciiTheme="minorHAnsi" w:hAnsiTheme="minorHAnsi" w:cstheme="minorHAnsi"/>
        </w:rPr>
        <w:t xml:space="preserve"> calendar year. </w:t>
      </w:r>
      <w:r w:rsidRPr="00E40A84">
        <w:rPr>
          <w:rFonts w:asciiTheme="minorHAnsi" w:hAnsiTheme="minorHAnsi" w:cstheme="minorHAnsi"/>
        </w:rPr>
        <w:t xml:space="preserve">All incentives paid through Commercial Energy Solutions </w:t>
      </w:r>
      <w:r w:rsidR="00CC2595">
        <w:rPr>
          <w:rFonts w:asciiTheme="minorHAnsi" w:hAnsiTheme="minorHAnsi" w:cstheme="minorHAnsi"/>
        </w:rPr>
        <w:t>(EasySave and EasySave Plus</w:t>
      </w:r>
      <w:r w:rsidR="00E50F27">
        <w:rPr>
          <w:rFonts w:asciiTheme="minorHAnsi" w:hAnsiTheme="minorHAnsi" w:cstheme="minorHAnsi"/>
        </w:rPr>
        <w:t xml:space="preserve"> programs</w:t>
      </w:r>
      <w:r w:rsidR="00CC2595">
        <w:rPr>
          <w:rFonts w:asciiTheme="minorHAnsi" w:hAnsiTheme="minorHAnsi" w:cstheme="minorHAnsi"/>
        </w:rPr>
        <w:t>)</w:t>
      </w:r>
      <w:r w:rsidRPr="00E40A84">
        <w:rPr>
          <w:rFonts w:asciiTheme="minorHAnsi" w:hAnsiTheme="minorHAnsi" w:cstheme="minorHAnsi"/>
        </w:rPr>
        <w:t xml:space="preserve"> will be applied toward the customer incentive cap. The program team can assist customers in determining eligibility and risk of exceeding their annual customer cap</w:t>
      </w:r>
      <w:r>
        <w:rPr>
          <w:rFonts w:asciiTheme="minorHAnsi" w:hAnsiTheme="minorHAnsi" w:cstheme="minorHAnsi"/>
        </w:rPr>
        <w:t>.</w:t>
      </w:r>
    </w:p>
    <w:p w14:paraId="2D7F4DD9" w14:textId="5CC9CEB6" w:rsidR="004063FB" w:rsidRPr="00E40A84" w:rsidRDefault="004063FB" w:rsidP="007C5093">
      <w:pPr>
        <w:pStyle w:val="Default"/>
        <w:spacing w:after="120"/>
        <w:ind w:left="720"/>
        <w:rPr>
          <w:rFonts w:asciiTheme="minorHAnsi" w:hAnsiTheme="minorHAnsi" w:cstheme="minorHAnsi"/>
        </w:rPr>
      </w:pPr>
      <w:r>
        <w:rPr>
          <w:rFonts w:asciiTheme="minorHAnsi" w:hAnsiTheme="minorHAnsi" w:cstheme="minorHAnsi"/>
        </w:rPr>
        <w:t>TEP</w:t>
      </w:r>
      <w:r w:rsidRPr="00E40A84">
        <w:rPr>
          <w:rFonts w:asciiTheme="minorHAnsi" w:hAnsiTheme="minorHAnsi" w:cstheme="minorHAnsi"/>
        </w:rPr>
        <w:t xml:space="preserve"> will, at its discretion, determine which calendar year to attribute an application's rebates. Rebate funds will be attributed to a calendar year based upon availability of rebate funds and project completion date or when the final application is approved for payment.  </w:t>
      </w:r>
    </w:p>
    <w:p w14:paraId="07DA5B6C" w14:textId="77777777" w:rsidR="005569C9" w:rsidRPr="004B717E" w:rsidRDefault="005569C9" w:rsidP="001C719C">
      <w:pPr>
        <w:pStyle w:val="Default"/>
        <w:ind w:left="720"/>
        <w:jc w:val="both"/>
      </w:pPr>
    </w:p>
    <w:p w14:paraId="5EF1ECB0" w14:textId="77777777" w:rsidR="005569C9" w:rsidRPr="00052A8A" w:rsidRDefault="005569C9" w:rsidP="00052A8A">
      <w:pPr>
        <w:pStyle w:val="Default"/>
        <w:spacing w:after="120" w:line="360" w:lineRule="auto"/>
        <w:outlineLvl w:val="0"/>
        <w:rPr>
          <w:b/>
          <w:sz w:val="28"/>
          <w:szCs w:val="28"/>
        </w:rPr>
      </w:pPr>
      <w:bookmarkStart w:id="5" w:name="_Toc95915113"/>
      <w:r w:rsidRPr="00052A8A">
        <w:rPr>
          <w:b/>
          <w:sz w:val="28"/>
          <w:szCs w:val="28"/>
        </w:rPr>
        <w:t>2.</w:t>
      </w:r>
      <w:r w:rsidRPr="00052A8A">
        <w:rPr>
          <w:b/>
          <w:sz w:val="28"/>
          <w:szCs w:val="28"/>
        </w:rPr>
        <w:tab/>
        <w:t>Contact Information</w:t>
      </w:r>
      <w:bookmarkEnd w:id="5"/>
    </w:p>
    <w:p w14:paraId="02120D75" w14:textId="77777777" w:rsidR="005569C9" w:rsidRPr="008A6EE5" w:rsidRDefault="005569C9" w:rsidP="001C719C">
      <w:pPr>
        <w:pStyle w:val="Default"/>
        <w:jc w:val="both"/>
        <w:rPr>
          <w:b/>
        </w:rPr>
      </w:pPr>
      <w:r>
        <w:rPr>
          <w:sz w:val="28"/>
          <w:szCs w:val="28"/>
        </w:rPr>
        <w:tab/>
      </w:r>
      <w:r w:rsidRPr="008A6EE5">
        <w:rPr>
          <w:b/>
        </w:rPr>
        <w:t>TEP Commercial Energy Solutions</w:t>
      </w:r>
    </w:p>
    <w:p w14:paraId="099AFC1A" w14:textId="77777777" w:rsidR="005569C9" w:rsidRPr="008A6EE5" w:rsidRDefault="005569C9" w:rsidP="001C719C">
      <w:pPr>
        <w:pStyle w:val="Default"/>
        <w:ind w:left="720"/>
        <w:jc w:val="both"/>
        <w:rPr>
          <w:rFonts w:asciiTheme="minorHAnsi" w:hAnsiTheme="minorHAnsi" w:cstheme="minorHAnsi"/>
        </w:rPr>
      </w:pPr>
      <w:r w:rsidRPr="008A6EE5">
        <w:t>Mailing Address:</w:t>
      </w:r>
      <w:r>
        <w:rPr>
          <w:sz w:val="28"/>
          <w:szCs w:val="28"/>
        </w:rPr>
        <w:tab/>
      </w:r>
      <w:r w:rsidRPr="008A6EE5">
        <w:rPr>
          <w:rFonts w:asciiTheme="minorHAnsi" w:hAnsiTheme="minorHAnsi" w:cstheme="minorHAnsi"/>
        </w:rPr>
        <w:t>Tucson Electric Power</w:t>
      </w:r>
    </w:p>
    <w:p w14:paraId="19C62693" w14:textId="77777777" w:rsidR="005569C9" w:rsidRPr="008A6EE5" w:rsidRDefault="005569C9" w:rsidP="001C719C">
      <w:pPr>
        <w:pStyle w:val="Default"/>
        <w:ind w:left="720"/>
        <w:jc w:val="both"/>
        <w:rPr>
          <w:rFonts w:asciiTheme="minorHAnsi" w:hAnsiTheme="minorHAnsi" w:cstheme="minorHAnsi"/>
        </w:rPr>
      </w:pPr>
      <w:r w:rsidRPr="008A6EE5">
        <w:rPr>
          <w:rFonts w:asciiTheme="minorHAnsi" w:hAnsiTheme="minorHAnsi" w:cstheme="minorHAnsi"/>
        </w:rPr>
        <w:tab/>
      </w:r>
      <w:r w:rsidRPr="008A6EE5">
        <w:rPr>
          <w:rFonts w:asciiTheme="minorHAnsi" w:hAnsiTheme="minorHAnsi" w:cstheme="minorHAnsi"/>
        </w:rPr>
        <w:tab/>
      </w:r>
      <w:r w:rsidRPr="008A6EE5">
        <w:rPr>
          <w:rFonts w:asciiTheme="minorHAnsi" w:hAnsiTheme="minorHAnsi" w:cstheme="minorHAnsi"/>
        </w:rPr>
        <w:tab/>
        <w:t>Attn: TEP Commercial Energy Solutions</w:t>
      </w:r>
    </w:p>
    <w:p w14:paraId="61C2978E" w14:textId="77777777" w:rsidR="005569C9" w:rsidRPr="008A6EE5" w:rsidRDefault="005569C9" w:rsidP="001C719C">
      <w:pPr>
        <w:autoSpaceDE w:val="0"/>
        <w:autoSpaceDN w:val="0"/>
        <w:adjustRightInd w:val="0"/>
        <w:spacing w:after="0" w:line="240" w:lineRule="auto"/>
        <w:ind w:left="2880"/>
        <w:jc w:val="both"/>
        <w:rPr>
          <w:rFonts w:cstheme="minorHAnsi"/>
          <w:color w:val="000000"/>
          <w:sz w:val="24"/>
          <w:szCs w:val="24"/>
          <w:lang w:val="en"/>
        </w:rPr>
      </w:pPr>
      <w:r w:rsidRPr="008A6EE5">
        <w:rPr>
          <w:rFonts w:cstheme="minorHAnsi"/>
          <w:color w:val="000000"/>
          <w:sz w:val="24"/>
          <w:szCs w:val="24"/>
          <w:lang w:val="en"/>
        </w:rPr>
        <w:t>88 E</w:t>
      </w:r>
      <w:r w:rsidR="003B2FC3">
        <w:rPr>
          <w:rFonts w:cstheme="minorHAnsi"/>
          <w:color w:val="000000"/>
          <w:sz w:val="24"/>
          <w:szCs w:val="24"/>
          <w:lang w:val="en"/>
        </w:rPr>
        <w:t>.</w:t>
      </w:r>
      <w:r w:rsidRPr="008A6EE5">
        <w:rPr>
          <w:rFonts w:cstheme="minorHAnsi"/>
          <w:color w:val="000000"/>
          <w:sz w:val="24"/>
          <w:szCs w:val="24"/>
          <w:lang w:val="en"/>
        </w:rPr>
        <w:t xml:space="preserve"> Broadway Blvd</w:t>
      </w:r>
      <w:r w:rsidR="00DA3F59">
        <w:rPr>
          <w:rFonts w:cstheme="minorHAnsi"/>
          <w:color w:val="000000"/>
          <w:sz w:val="24"/>
          <w:szCs w:val="24"/>
          <w:lang w:val="en"/>
        </w:rPr>
        <w:t>.</w:t>
      </w:r>
    </w:p>
    <w:p w14:paraId="013CFC18" w14:textId="77777777" w:rsidR="005569C9" w:rsidRPr="008A6EE5" w:rsidRDefault="005569C9" w:rsidP="001C719C">
      <w:pPr>
        <w:autoSpaceDE w:val="0"/>
        <w:autoSpaceDN w:val="0"/>
        <w:adjustRightInd w:val="0"/>
        <w:spacing w:after="0" w:line="240" w:lineRule="auto"/>
        <w:ind w:left="2880"/>
        <w:jc w:val="both"/>
        <w:rPr>
          <w:rFonts w:cstheme="minorHAnsi"/>
          <w:color w:val="000000"/>
          <w:sz w:val="24"/>
          <w:szCs w:val="24"/>
          <w:lang w:val="en"/>
        </w:rPr>
      </w:pPr>
      <w:r w:rsidRPr="008A6EE5">
        <w:rPr>
          <w:rFonts w:cstheme="minorHAnsi"/>
          <w:color w:val="000000"/>
          <w:sz w:val="24"/>
          <w:szCs w:val="24"/>
          <w:lang w:val="en"/>
        </w:rPr>
        <w:lastRenderedPageBreak/>
        <w:t>Mailstop HQ</w:t>
      </w:r>
      <w:r>
        <w:rPr>
          <w:rFonts w:cstheme="minorHAnsi"/>
          <w:color w:val="000000"/>
          <w:sz w:val="24"/>
          <w:szCs w:val="24"/>
        </w:rPr>
        <w:t>E504</w:t>
      </w:r>
    </w:p>
    <w:p w14:paraId="5B2ACAE2" w14:textId="5E64772E" w:rsidR="005569C9" w:rsidRDefault="005569C9" w:rsidP="001C719C">
      <w:pPr>
        <w:autoSpaceDE w:val="0"/>
        <w:autoSpaceDN w:val="0"/>
        <w:adjustRightInd w:val="0"/>
        <w:spacing w:after="0" w:line="240" w:lineRule="auto"/>
        <w:ind w:left="2880"/>
        <w:jc w:val="both"/>
        <w:rPr>
          <w:rFonts w:cstheme="minorHAnsi"/>
          <w:color w:val="000000"/>
          <w:sz w:val="24"/>
          <w:szCs w:val="24"/>
          <w:lang w:val="en"/>
        </w:rPr>
      </w:pPr>
      <w:r w:rsidRPr="008A6EE5">
        <w:rPr>
          <w:rFonts w:cstheme="minorHAnsi"/>
          <w:color w:val="000000"/>
          <w:sz w:val="24"/>
          <w:szCs w:val="24"/>
          <w:lang w:val="en"/>
        </w:rPr>
        <w:t>Tucson, AZ 8570</w:t>
      </w:r>
      <w:r w:rsidR="009034BF">
        <w:rPr>
          <w:rFonts w:cstheme="minorHAnsi"/>
          <w:color w:val="000000"/>
          <w:sz w:val="24"/>
          <w:szCs w:val="24"/>
          <w:lang w:val="en"/>
        </w:rPr>
        <w:t>1</w:t>
      </w:r>
    </w:p>
    <w:p w14:paraId="13B62944" w14:textId="484C6001" w:rsidR="005569C9" w:rsidRDefault="00041C12" w:rsidP="001C719C">
      <w:pPr>
        <w:autoSpaceDE w:val="0"/>
        <w:autoSpaceDN w:val="0"/>
        <w:adjustRightInd w:val="0"/>
        <w:spacing w:after="0" w:line="240" w:lineRule="auto"/>
        <w:ind w:firstLine="720"/>
        <w:jc w:val="both"/>
        <w:rPr>
          <w:rFonts w:cstheme="minorHAnsi"/>
          <w:color w:val="000000"/>
          <w:sz w:val="24"/>
          <w:szCs w:val="24"/>
          <w:lang w:val="en"/>
        </w:rPr>
      </w:pPr>
      <w:r>
        <w:rPr>
          <w:rFonts w:cstheme="minorHAnsi"/>
          <w:color w:val="000000"/>
          <w:sz w:val="24"/>
          <w:szCs w:val="24"/>
          <w:lang w:val="en"/>
        </w:rPr>
        <w:t>Phone</w:t>
      </w:r>
      <w:r w:rsidR="007D63D5">
        <w:rPr>
          <w:rFonts w:cstheme="minorHAnsi"/>
          <w:color w:val="000000"/>
          <w:sz w:val="24"/>
          <w:szCs w:val="24"/>
          <w:lang w:val="en"/>
        </w:rPr>
        <w:t>:</w:t>
      </w:r>
      <w:r w:rsidR="007D63D5">
        <w:rPr>
          <w:rFonts w:cstheme="minorHAnsi"/>
          <w:color w:val="000000"/>
          <w:sz w:val="24"/>
          <w:szCs w:val="24"/>
          <w:lang w:val="en"/>
        </w:rPr>
        <w:tab/>
      </w:r>
      <w:r w:rsidR="007C5093">
        <w:rPr>
          <w:rFonts w:cstheme="minorHAnsi"/>
          <w:color w:val="000000"/>
          <w:sz w:val="24"/>
          <w:szCs w:val="24"/>
          <w:lang w:val="en"/>
        </w:rPr>
        <w:tab/>
      </w:r>
      <w:r w:rsidR="007C5093">
        <w:rPr>
          <w:rFonts w:cstheme="minorHAnsi"/>
          <w:color w:val="000000"/>
          <w:sz w:val="24"/>
          <w:szCs w:val="24"/>
          <w:lang w:val="en"/>
        </w:rPr>
        <w:tab/>
      </w:r>
      <w:r w:rsidR="005569C9">
        <w:rPr>
          <w:rFonts w:cstheme="minorHAnsi"/>
          <w:color w:val="000000"/>
          <w:sz w:val="24"/>
          <w:szCs w:val="24"/>
          <w:lang w:val="en"/>
        </w:rPr>
        <w:t>866-324-5506</w:t>
      </w:r>
    </w:p>
    <w:p w14:paraId="4E59D9BD" w14:textId="77777777" w:rsidR="005569C9" w:rsidRDefault="005569C9" w:rsidP="001C719C">
      <w:pPr>
        <w:autoSpaceDE w:val="0"/>
        <w:autoSpaceDN w:val="0"/>
        <w:adjustRightInd w:val="0"/>
        <w:spacing w:after="0" w:line="240" w:lineRule="auto"/>
        <w:jc w:val="both"/>
        <w:rPr>
          <w:rFonts w:cstheme="minorHAnsi"/>
          <w:color w:val="000000"/>
          <w:sz w:val="24"/>
          <w:szCs w:val="24"/>
          <w:lang w:val="en"/>
        </w:rPr>
      </w:pPr>
      <w:r>
        <w:rPr>
          <w:rFonts w:cstheme="minorHAnsi"/>
          <w:color w:val="000000"/>
          <w:sz w:val="24"/>
          <w:szCs w:val="24"/>
          <w:lang w:val="en"/>
        </w:rPr>
        <w:tab/>
        <w:t xml:space="preserve">Email Address: </w:t>
      </w:r>
      <w:r w:rsidR="007D63D5">
        <w:rPr>
          <w:rFonts w:cstheme="minorHAnsi"/>
          <w:color w:val="000000"/>
          <w:sz w:val="24"/>
          <w:szCs w:val="24"/>
          <w:lang w:val="en"/>
        </w:rPr>
        <w:tab/>
      </w:r>
      <w:hyperlink r:id="rId19" w:history="1">
        <w:r w:rsidRPr="00C357E9">
          <w:rPr>
            <w:rStyle w:val="Hyperlink"/>
            <w:rFonts w:cstheme="minorHAnsi"/>
            <w:sz w:val="24"/>
            <w:szCs w:val="24"/>
            <w:lang w:val="en"/>
          </w:rPr>
          <w:t>ces@tep.com</w:t>
        </w:r>
      </w:hyperlink>
      <w:r>
        <w:rPr>
          <w:rFonts w:cstheme="minorHAnsi"/>
          <w:color w:val="000000"/>
          <w:sz w:val="24"/>
          <w:szCs w:val="24"/>
          <w:lang w:val="en"/>
        </w:rPr>
        <w:tab/>
      </w:r>
    </w:p>
    <w:p w14:paraId="6802FECD" w14:textId="77777777" w:rsidR="005569C9" w:rsidRDefault="005569C9" w:rsidP="001C719C">
      <w:pPr>
        <w:autoSpaceDE w:val="0"/>
        <w:autoSpaceDN w:val="0"/>
        <w:adjustRightInd w:val="0"/>
        <w:spacing w:after="0" w:line="240" w:lineRule="auto"/>
        <w:jc w:val="both"/>
        <w:rPr>
          <w:rFonts w:cstheme="minorHAnsi"/>
          <w:color w:val="000000"/>
          <w:sz w:val="24"/>
          <w:szCs w:val="24"/>
          <w:lang w:val="en"/>
        </w:rPr>
      </w:pPr>
      <w:r>
        <w:rPr>
          <w:rFonts w:cstheme="minorHAnsi"/>
          <w:color w:val="000000"/>
          <w:sz w:val="24"/>
          <w:szCs w:val="24"/>
          <w:lang w:val="en"/>
        </w:rPr>
        <w:tab/>
        <w:t xml:space="preserve">Website: </w:t>
      </w:r>
      <w:r w:rsidR="007D63D5">
        <w:rPr>
          <w:rFonts w:cstheme="minorHAnsi"/>
          <w:color w:val="000000"/>
          <w:sz w:val="24"/>
          <w:szCs w:val="24"/>
          <w:lang w:val="en"/>
        </w:rPr>
        <w:tab/>
      </w:r>
      <w:r w:rsidR="007D63D5">
        <w:rPr>
          <w:rFonts w:cstheme="minorHAnsi"/>
          <w:color w:val="000000"/>
          <w:sz w:val="24"/>
          <w:szCs w:val="24"/>
          <w:lang w:val="en"/>
        </w:rPr>
        <w:tab/>
      </w:r>
      <w:hyperlink r:id="rId20" w:history="1">
        <w:r w:rsidRPr="00C357E9">
          <w:rPr>
            <w:rStyle w:val="Hyperlink"/>
            <w:rFonts w:cstheme="minorHAnsi"/>
            <w:sz w:val="24"/>
            <w:szCs w:val="24"/>
            <w:lang w:val="en"/>
          </w:rPr>
          <w:t>tepcommercialenergysolutions.com</w:t>
        </w:r>
      </w:hyperlink>
      <w:r>
        <w:rPr>
          <w:rFonts w:cstheme="minorHAnsi"/>
          <w:color w:val="000000"/>
          <w:sz w:val="24"/>
          <w:szCs w:val="24"/>
          <w:lang w:val="en"/>
        </w:rPr>
        <w:tab/>
      </w:r>
    </w:p>
    <w:p w14:paraId="55F5E1D4" w14:textId="77777777" w:rsidR="005569C9" w:rsidRDefault="005569C9" w:rsidP="001C719C">
      <w:pPr>
        <w:autoSpaceDE w:val="0"/>
        <w:autoSpaceDN w:val="0"/>
        <w:adjustRightInd w:val="0"/>
        <w:spacing w:after="0" w:line="240" w:lineRule="auto"/>
        <w:jc w:val="both"/>
        <w:rPr>
          <w:rFonts w:cstheme="minorHAnsi"/>
          <w:color w:val="000000"/>
          <w:sz w:val="24"/>
          <w:szCs w:val="24"/>
          <w:lang w:val="en"/>
        </w:rPr>
      </w:pPr>
    </w:p>
    <w:p w14:paraId="54E5564F" w14:textId="77777777" w:rsidR="005569C9" w:rsidRPr="00052A8A" w:rsidRDefault="005569C9" w:rsidP="00052A8A">
      <w:pPr>
        <w:pStyle w:val="Default"/>
        <w:spacing w:line="360" w:lineRule="auto"/>
        <w:outlineLvl w:val="0"/>
        <w:rPr>
          <w:b/>
          <w:sz w:val="28"/>
          <w:szCs w:val="28"/>
        </w:rPr>
      </w:pPr>
      <w:bookmarkStart w:id="6" w:name="_Toc95915114"/>
      <w:r w:rsidRPr="00052A8A">
        <w:rPr>
          <w:b/>
          <w:sz w:val="28"/>
          <w:szCs w:val="28"/>
        </w:rPr>
        <w:t>3.</w:t>
      </w:r>
      <w:r w:rsidRPr="00052A8A">
        <w:rPr>
          <w:b/>
          <w:sz w:val="28"/>
          <w:szCs w:val="28"/>
        </w:rPr>
        <w:tab/>
        <w:t>What are the Program Benefits?</w:t>
      </w:r>
      <w:bookmarkEnd w:id="6"/>
    </w:p>
    <w:p w14:paraId="7D2CFBCC" w14:textId="77777777" w:rsidR="005569C9" w:rsidRPr="002773CE" w:rsidRDefault="005569C9" w:rsidP="001C719C">
      <w:pPr>
        <w:pStyle w:val="Default"/>
        <w:numPr>
          <w:ilvl w:val="0"/>
          <w:numId w:val="2"/>
        </w:numPr>
        <w:spacing w:before="120"/>
        <w:jc w:val="both"/>
      </w:pPr>
      <w:r w:rsidRPr="002773CE">
        <w:t xml:space="preserve">A </w:t>
      </w:r>
      <w:r>
        <w:t xml:space="preserve">complimentary </w:t>
      </w:r>
      <w:r w:rsidRPr="002773CE">
        <w:t xml:space="preserve">facility </w:t>
      </w:r>
      <w:r w:rsidR="007D63D5">
        <w:t xml:space="preserve">assessment </w:t>
      </w:r>
      <w:r w:rsidR="005A2E43">
        <w:t xml:space="preserve">is </w:t>
      </w:r>
      <w:r w:rsidR="007D63D5">
        <w:t>conducted by an EasyS</w:t>
      </w:r>
      <w:r w:rsidRPr="002773CE">
        <w:t xml:space="preserve">ave </w:t>
      </w:r>
      <w:r w:rsidR="003B2FC3">
        <w:t>p</w:t>
      </w:r>
      <w:r w:rsidRPr="002773CE">
        <w:t>rogram</w:t>
      </w:r>
      <w:r>
        <w:t>-</w:t>
      </w:r>
      <w:r w:rsidRPr="002773CE">
        <w:t>approved contractor (Trade Ally) to identify potential energy saving equipment opportunities.</w:t>
      </w:r>
    </w:p>
    <w:p w14:paraId="41C4BEEA" w14:textId="6F87AC5C" w:rsidR="005569C9" w:rsidRPr="002773CE" w:rsidRDefault="005569C9" w:rsidP="001C719C">
      <w:pPr>
        <w:pStyle w:val="Default"/>
        <w:numPr>
          <w:ilvl w:val="0"/>
          <w:numId w:val="2"/>
        </w:numPr>
        <w:spacing w:before="120"/>
        <w:jc w:val="both"/>
      </w:pPr>
      <w:r w:rsidRPr="002773CE">
        <w:t>A detailed proposal that includes a list of recommendations and estimates of energy savings, project cost</w:t>
      </w:r>
      <w:r w:rsidR="00DA3F59">
        <w:t>s</w:t>
      </w:r>
      <w:r w:rsidRPr="002773CE">
        <w:t xml:space="preserve">, payback period and the </w:t>
      </w:r>
      <w:r w:rsidR="005A2E43">
        <w:t xml:space="preserve">potential </w:t>
      </w:r>
      <w:r w:rsidRPr="002773CE">
        <w:t>rebate amount</w:t>
      </w:r>
      <w:r w:rsidR="005A2E43">
        <w:t xml:space="preserve"> through the </w:t>
      </w:r>
      <w:r w:rsidR="005A2E43" w:rsidRPr="002773CE">
        <w:t xml:space="preserve">EasySave </w:t>
      </w:r>
      <w:r w:rsidR="003B2FC3">
        <w:t>p</w:t>
      </w:r>
      <w:r w:rsidR="005A2E43" w:rsidRPr="002773CE">
        <w:t>rogram</w:t>
      </w:r>
      <w:r w:rsidRPr="002773CE">
        <w:t xml:space="preserve"> </w:t>
      </w:r>
      <w:r w:rsidR="005A2E43">
        <w:t xml:space="preserve">is provided to the customer. </w:t>
      </w:r>
      <w:r w:rsidRPr="002773CE">
        <w:t xml:space="preserve"> </w:t>
      </w:r>
    </w:p>
    <w:p w14:paraId="33DCEFF3" w14:textId="77777777" w:rsidR="005569C9" w:rsidRPr="002773CE" w:rsidRDefault="005A2E43" w:rsidP="001C719C">
      <w:pPr>
        <w:pStyle w:val="Default"/>
        <w:numPr>
          <w:ilvl w:val="0"/>
          <w:numId w:val="2"/>
        </w:numPr>
        <w:spacing w:before="120"/>
        <w:jc w:val="both"/>
      </w:pPr>
      <w:r>
        <w:t>A</w:t>
      </w:r>
      <w:r w:rsidR="005569C9" w:rsidRPr="002773CE">
        <w:t xml:space="preserve">pproved energy-saving equipment </w:t>
      </w:r>
      <w:r>
        <w:t xml:space="preserve">is installed </w:t>
      </w:r>
      <w:r w:rsidR="005569C9" w:rsidRPr="002773CE">
        <w:t>by a program-approved contractor. Pre- and post-installation inspections may be conducted to verify energy savings. Verifications may be done upon request from the customer.</w:t>
      </w:r>
    </w:p>
    <w:p w14:paraId="3DEE080E" w14:textId="77777777" w:rsidR="005569C9" w:rsidRPr="002773CE" w:rsidRDefault="005569C9" w:rsidP="001C719C">
      <w:pPr>
        <w:pStyle w:val="Default"/>
        <w:jc w:val="both"/>
      </w:pPr>
    </w:p>
    <w:p w14:paraId="6FB7E590" w14:textId="3D3BBA02" w:rsidR="00744288" w:rsidRDefault="005569C9" w:rsidP="0044316E">
      <w:pPr>
        <w:pStyle w:val="Default"/>
      </w:pPr>
      <w:r w:rsidRPr="002773CE">
        <w:t xml:space="preserve">The program offers rebates that provide the customer with cost reductions on a comprehensive </w:t>
      </w:r>
      <w:r w:rsidR="005A2E43">
        <w:t xml:space="preserve">range </w:t>
      </w:r>
      <w:r w:rsidRPr="002773CE">
        <w:t>of lighting and refrigeration measures</w:t>
      </w:r>
      <w:r w:rsidR="005A2E43">
        <w:t>,</w:t>
      </w:r>
      <w:r w:rsidRPr="002773CE">
        <w:t xml:space="preserve"> such as upgrades </w:t>
      </w:r>
      <w:r>
        <w:t xml:space="preserve">from </w:t>
      </w:r>
      <w:r w:rsidRPr="002773CE">
        <w:t xml:space="preserve">fluorescent tubes, anti-sweat door heater controls, evaporator fan replacement motors and cooler control systems. </w:t>
      </w:r>
    </w:p>
    <w:p w14:paraId="7CEEB567" w14:textId="77777777" w:rsidR="00744288" w:rsidRDefault="00744288" w:rsidP="0044316E">
      <w:pPr>
        <w:pStyle w:val="Default"/>
      </w:pPr>
    </w:p>
    <w:p w14:paraId="6CB2266D" w14:textId="77777777" w:rsidR="005569C9" w:rsidRPr="002773CE" w:rsidRDefault="005569C9" w:rsidP="0044316E">
      <w:pPr>
        <w:pStyle w:val="Default"/>
      </w:pPr>
      <w:r w:rsidRPr="002773CE">
        <w:t xml:space="preserve">In addition, the program offers rebates to pay a portion of the incremental cost of upgrading to higher efficiency HVAC equipment. A </w:t>
      </w:r>
      <w:r>
        <w:t>complimentary</w:t>
      </w:r>
      <w:r w:rsidRPr="002773CE">
        <w:t xml:space="preserve"> energy assessment will be conducted to identify potential energy-saving equipment options and to determine the portion of the project costs that would be paid by the program. </w:t>
      </w:r>
      <w:r w:rsidR="007D63D5">
        <w:t xml:space="preserve">Only </w:t>
      </w:r>
      <w:r w:rsidRPr="002773CE">
        <w:t>program-approved contractors participating in the program are available to install the equipment</w:t>
      </w:r>
      <w:r w:rsidR="00744288">
        <w:t>.</w:t>
      </w:r>
    </w:p>
    <w:p w14:paraId="0979271A" w14:textId="77777777" w:rsidR="005569C9" w:rsidRPr="002773CE" w:rsidRDefault="005569C9" w:rsidP="001C719C">
      <w:pPr>
        <w:pStyle w:val="Default"/>
        <w:jc w:val="both"/>
      </w:pPr>
    </w:p>
    <w:p w14:paraId="07DDBB88" w14:textId="51FE122C" w:rsidR="005569C9" w:rsidRPr="002773CE" w:rsidRDefault="005569C9" w:rsidP="0044316E">
      <w:pPr>
        <w:pStyle w:val="Default"/>
        <w:rPr>
          <w:color w:val="FF0000"/>
        </w:rPr>
      </w:pPr>
      <w:r w:rsidRPr="002773CE">
        <w:t>TEP and DNV</w:t>
      </w:r>
      <w:r w:rsidR="00CD0714">
        <w:t xml:space="preserve"> </w:t>
      </w:r>
      <w:r w:rsidRPr="002773CE">
        <w:t xml:space="preserve">do not sell or install any kind of measures </w:t>
      </w:r>
      <w:r w:rsidR="006E38DB" w:rsidRPr="002773CE">
        <w:t>directly</w:t>
      </w:r>
      <w:r w:rsidR="00561A76">
        <w:t>,</w:t>
      </w:r>
      <w:r w:rsidR="006E38DB">
        <w:t xml:space="preserve"> but</w:t>
      </w:r>
      <w:r w:rsidR="00744288">
        <w:t xml:space="preserve"> do provide</w:t>
      </w:r>
      <w:r w:rsidRPr="002773CE">
        <w:t xml:space="preserve"> approved contractors and customers </w:t>
      </w:r>
      <w:r w:rsidR="00744288">
        <w:t>with</w:t>
      </w:r>
      <w:r w:rsidRPr="002773CE">
        <w:t xml:space="preserve"> additional services and funding for projects.</w:t>
      </w:r>
      <w:r w:rsidRPr="002773CE">
        <w:rPr>
          <w:color w:val="FF0000"/>
        </w:rPr>
        <w:t xml:space="preserve"> </w:t>
      </w:r>
    </w:p>
    <w:p w14:paraId="607014E4" w14:textId="77777777" w:rsidR="005569C9" w:rsidRPr="002773CE" w:rsidRDefault="005569C9" w:rsidP="001C719C">
      <w:pPr>
        <w:pStyle w:val="Default"/>
        <w:jc w:val="both"/>
        <w:rPr>
          <w:color w:val="FF0000"/>
        </w:rPr>
      </w:pPr>
    </w:p>
    <w:p w14:paraId="46DE496B" w14:textId="77777777" w:rsidR="005569C9" w:rsidRPr="00052A8A" w:rsidRDefault="005569C9" w:rsidP="00052A8A">
      <w:pPr>
        <w:pStyle w:val="Default"/>
        <w:outlineLvl w:val="0"/>
        <w:rPr>
          <w:b/>
          <w:sz w:val="28"/>
          <w:szCs w:val="28"/>
        </w:rPr>
      </w:pPr>
      <w:bookmarkStart w:id="7" w:name="_Toc95915115"/>
      <w:r w:rsidRPr="00052A8A">
        <w:rPr>
          <w:b/>
          <w:sz w:val="28"/>
          <w:szCs w:val="28"/>
        </w:rPr>
        <w:t>4.</w:t>
      </w:r>
      <w:r w:rsidRPr="00052A8A">
        <w:rPr>
          <w:b/>
          <w:sz w:val="28"/>
          <w:szCs w:val="28"/>
        </w:rPr>
        <w:tab/>
        <w:t>Program Process Overview</w:t>
      </w:r>
      <w:bookmarkEnd w:id="7"/>
    </w:p>
    <w:p w14:paraId="58B35880" w14:textId="77777777" w:rsidR="005A2E43" w:rsidRDefault="005A2E43" w:rsidP="001C719C">
      <w:pPr>
        <w:pStyle w:val="Default"/>
        <w:jc w:val="both"/>
      </w:pPr>
    </w:p>
    <w:p w14:paraId="7356FD0A" w14:textId="77777777" w:rsidR="005569C9" w:rsidRPr="002773CE" w:rsidRDefault="005569C9" w:rsidP="001C719C">
      <w:pPr>
        <w:pStyle w:val="Default"/>
        <w:jc w:val="both"/>
      </w:pPr>
      <w:r w:rsidRPr="002773CE">
        <w:t xml:space="preserve">Program-approved contractors contact </w:t>
      </w:r>
      <w:r w:rsidR="005A2E43">
        <w:t>p</w:t>
      </w:r>
      <w:r w:rsidR="005A2E43" w:rsidRPr="002773CE">
        <w:t xml:space="preserve">rogram </w:t>
      </w:r>
      <w:r w:rsidRPr="002773CE">
        <w:t xml:space="preserve">participants </w:t>
      </w:r>
      <w:r w:rsidR="005A2E43">
        <w:t xml:space="preserve">who are interested in participating in the </w:t>
      </w:r>
      <w:r w:rsidRPr="002773CE">
        <w:t xml:space="preserve">EasySave </w:t>
      </w:r>
      <w:r w:rsidR="003B2FC3">
        <w:t>p</w:t>
      </w:r>
      <w:r w:rsidRPr="002773CE">
        <w:t xml:space="preserve">rogram. Program-approved contractors have </w:t>
      </w:r>
      <w:r w:rsidR="00CE7BD3">
        <w:t xml:space="preserve">signed </w:t>
      </w:r>
      <w:r w:rsidRPr="002773CE">
        <w:t xml:space="preserve">a </w:t>
      </w:r>
      <w:r w:rsidR="00CE7BD3">
        <w:t>C</w:t>
      </w:r>
      <w:r w:rsidRPr="002773CE">
        <w:t xml:space="preserve">ontractor </w:t>
      </w:r>
      <w:r w:rsidR="00CE7BD3">
        <w:t>A</w:t>
      </w:r>
      <w:r w:rsidRPr="002773CE">
        <w:t xml:space="preserve">pplication and </w:t>
      </w:r>
      <w:r w:rsidR="00CE7BD3">
        <w:t>A</w:t>
      </w:r>
      <w:r w:rsidRPr="002773CE">
        <w:t>greement</w:t>
      </w:r>
      <w:r w:rsidR="00CE7BD3" w:rsidRPr="002773CE">
        <w:t xml:space="preserve"> </w:t>
      </w:r>
      <w:r w:rsidRPr="002773CE">
        <w:t xml:space="preserve">and </w:t>
      </w:r>
      <w:r w:rsidR="00CE7BD3">
        <w:t xml:space="preserve">have </w:t>
      </w:r>
      <w:r w:rsidRPr="002773CE">
        <w:t>attended a program seminar to be</w:t>
      </w:r>
      <w:r w:rsidR="007D63D5">
        <w:t>come</w:t>
      </w:r>
      <w:r w:rsidRPr="002773CE">
        <w:t xml:space="preserve"> a program-approved contractor (Trade Ally). Most of the program documentation is provided through web-based proposal generation software accessible only to program-approved contractors. Non-approved contractors are </w:t>
      </w:r>
      <w:r>
        <w:t xml:space="preserve">restricted from use of </w:t>
      </w:r>
      <w:r w:rsidR="007D63D5">
        <w:t>this software.</w:t>
      </w:r>
    </w:p>
    <w:p w14:paraId="6B3660F7" w14:textId="77777777" w:rsidR="005569C9" w:rsidRPr="002773CE" w:rsidRDefault="005569C9" w:rsidP="001C719C">
      <w:pPr>
        <w:pStyle w:val="Default"/>
        <w:jc w:val="both"/>
      </w:pPr>
    </w:p>
    <w:p w14:paraId="2032D925" w14:textId="77777777" w:rsidR="005569C9" w:rsidRPr="002773CE" w:rsidRDefault="005569C9" w:rsidP="001C719C">
      <w:pPr>
        <w:pStyle w:val="Default"/>
        <w:jc w:val="both"/>
      </w:pPr>
      <w:r w:rsidRPr="002773CE">
        <w:t xml:space="preserve">The program includes </w:t>
      </w:r>
      <w:r w:rsidR="00D33316">
        <w:t>eight</w:t>
      </w:r>
      <w:r w:rsidRPr="002773CE">
        <w:t xml:space="preserve"> steps for each pro</w:t>
      </w:r>
      <w:r>
        <w:t>posal</w:t>
      </w:r>
      <w:r w:rsidRPr="002773CE">
        <w:t>:</w:t>
      </w:r>
    </w:p>
    <w:p w14:paraId="59C12C31" w14:textId="77777777" w:rsidR="005569C9" w:rsidRPr="002773CE" w:rsidRDefault="005569C9" w:rsidP="001C719C">
      <w:pPr>
        <w:pStyle w:val="Default"/>
        <w:jc w:val="both"/>
      </w:pPr>
    </w:p>
    <w:p w14:paraId="62C94624" w14:textId="77777777" w:rsidR="005569C9" w:rsidRPr="002773CE" w:rsidRDefault="005569C9" w:rsidP="001C719C">
      <w:pPr>
        <w:pStyle w:val="Default"/>
        <w:numPr>
          <w:ilvl w:val="0"/>
          <w:numId w:val="3"/>
        </w:numPr>
        <w:jc w:val="both"/>
      </w:pPr>
      <w:r w:rsidRPr="002773CE">
        <w:t>A</w:t>
      </w:r>
      <w:r>
        <w:t xml:space="preserve"> complimentary</w:t>
      </w:r>
      <w:r w:rsidRPr="002773CE">
        <w:t xml:space="preserve"> facility </w:t>
      </w:r>
      <w:r>
        <w:t xml:space="preserve">assessment </w:t>
      </w:r>
      <w:r w:rsidRPr="002773CE">
        <w:t>is conducted by a</w:t>
      </w:r>
      <w:r w:rsidR="00561A76">
        <w:t>n Approved</w:t>
      </w:r>
      <w:r w:rsidRPr="002773CE">
        <w:t xml:space="preserve"> Trade Ally</w:t>
      </w:r>
      <w:r w:rsidR="009D7717">
        <w:t>,</w:t>
      </w:r>
      <w:r w:rsidRPr="002773CE">
        <w:t xml:space="preserve"> and</w:t>
      </w:r>
      <w:r>
        <w:t xml:space="preserve"> a </w:t>
      </w:r>
      <w:r w:rsidR="003B2FC3">
        <w:t>P</w:t>
      </w:r>
      <w:r>
        <w:t xml:space="preserve">articipation </w:t>
      </w:r>
      <w:r w:rsidR="003B2FC3">
        <w:t>A</w:t>
      </w:r>
      <w:r>
        <w:t>greement is</w:t>
      </w:r>
      <w:r w:rsidRPr="002773CE">
        <w:t xml:space="preserve"> presented to the customer.</w:t>
      </w:r>
    </w:p>
    <w:p w14:paraId="5E94B3F5" w14:textId="1B0BFEC0" w:rsidR="005569C9" w:rsidRPr="002773CE" w:rsidRDefault="005569C9" w:rsidP="001C719C">
      <w:pPr>
        <w:pStyle w:val="Default"/>
        <w:numPr>
          <w:ilvl w:val="0"/>
          <w:numId w:val="3"/>
        </w:numPr>
        <w:jc w:val="both"/>
      </w:pPr>
      <w:r w:rsidRPr="002773CE">
        <w:t xml:space="preserve">A </w:t>
      </w:r>
      <w:r w:rsidR="00CE7BD3">
        <w:t>P</w:t>
      </w:r>
      <w:r w:rsidRPr="002773CE">
        <w:t xml:space="preserve">articipation </w:t>
      </w:r>
      <w:r w:rsidR="00CE7BD3">
        <w:t>A</w:t>
      </w:r>
      <w:r w:rsidRPr="002773CE">
        <w:t xml:space="preserve">greement is signed by the customer, Trade Ally and </w:t>
      </w:r>
      <w:r w:rsidR="00303E85">
        <w:t>DNV</w:t>
      </w:r>
      <w:r w:rsidRPr="002773CE">
        <w:t>.</w:t>
      </w:r>
    </w:p>
    <w:p w14:paraId="09C8B8E4" w14:textId="3638BA48" w:rsidR="005569C9" w:rsidRPr="002773CE" w:rsidRDefault="005569C9" w:rsidP="001C719C">
      <w:pPr>
        <w:pStyle w:val="Default"/>
        <w:numPr>
          <w:ilvl w:val="0"/>
          <w:numId w:val="3"/>
        </w:numPr>
        <w:jc w:val="both"/>
      </w:pPr>
      <w:r w:rsidRPr="002773CE">
        <w:t xml:space="preserve">Customer eligibility is confirmed by </w:t>
      </w:r>
      <w:r w:rsidR="00303E85">
        <w:t>DNV</w:t>
      </w:r>
      <w:r w:rsidRPr="002773CE">
        <w:t>.</w:t>
      </w:r>
    </w:p>
    <w:p w14:paraId="7469B21B" w14:textId="77777777" w:rsidR="00744288" w:rsidRDefault="00AB46DA" w:rsidP="00744288">
      <w:pPr>
        <w:pStyle w:val="Default"/>
        <w:numPr>
          <w:ilvl w:val="0"/>
          <w:numId w:val="3"/>
        </w:numPr>
        <w:jc w:val="both"/>
      </w:pPr>
      <w:r>
        <w:t>If required, a</w:t>
      </w:r>
      <w:r w:rsidR="00744288">
        <w:t xml:space="preserve"> </w:t>
      </w:r>
      <w:r w:rsidR="005569C9" w:rsidRPr="002773CE">
        <w:t xml:space="preserve">Pre-installation inspection </w:t>
      </w:r>
      <w:r w:rsidR="00744288">
        <w:t>for</w:t>
      </w:r>
      <w:r w:rsidR="005569C9" w:rsidRPr="002773CE">
        <w:t xml:space="preserve"> the scope </w:t>
      </w:r>
      <w:r w:rsidR="007D63D5">
        <w:t xml:space="preserve">of work </w:t>
      </w:r>
      <w:r w:rsidR="00744288">
        <w:t>described in the</w:t>
      </w:r>
      <w:r w:rsidR="005569C9" w:rsidRPr="002773CE">
        <w:t xml:space="preserve"> participation agreement</w:t>
      </w:r>
      <w:r>
        <w:t xml:space="preserve"> </w:t>
      </w:r>
      <w:r w:rsidR="00744288">
        <w:t xml:space="preserve">is completed. </w:t>
      </w:r>
      <w:r w:rsidR="005569C9" w:rsidRPr="002773CE">
        <w:t xml:space="preserve"> </w:t>
      </w:r>
    </w:p>
    <w:p w14:paraId="15E2A741" w14:textId="03601907" w:rsidR="005569C9" w:rsidRPr="002773CE" w:rsidRDefault="005569C9" w:rsidP="00744288">
      <w:pPr>
        <w:pStyle w:val="Default"/>
        <w:numPr>
          <w:ilvl w:val="0"/>
          <w:numId w:val="3"/>
        </w:numPr>
        <w:jc w:val="both"/>
      </w:pPr>
      <w:r w:rsidRPr="002773CE">
        <w:t xml:space="preserve">Installation </w:t>
      </w:r>
      <w:r w:rsidR="006E38DB" w:rsidRPr="002773CE">
        <w:t>begins</w:t>
      </w:r>
      <w:r w:rsidRPr="002773CE">
        <w:t xml:space="preserve"> and a project completion form is submitted once the installation is complete.</w:t>
      </w:r>
    </w:p>
    <w:p w14:paraId="33371C64" w14:textId="77777777" w:rsidR="005569C9" w:rsidRPr="002773CE" w:rsidRDefault="005569C9" w:rsidP="001C719C">
      <w:pPr>
        <w:pStyle w:val="Default"/>
        <w:numPr>
          <w:ilvl w:val="0"/>
          <w:numId w:val="3"/>
        </w:numPr>
        <w:jc w:val="both"/>
      </w:pPr>
      <w:r w:rsidRPr="002773CE">
        <w:t>Post-installation inspection is completed.</w:t>
      </w:r>
    </w:p>
    <w:p w14:paraId="6448EF82" w14:textId="77777777" w:rsidR="005569C9" w:rsidRDefault="00AB46DA" w:rsidP="001C719C">
      <w:pPr>
        <w:pStyle w:val="Default"/>
        <w:numPr>
          <w:ilvl w:val="0"/>
          <w:numId w:val="3"/>
        </w:numPr>
        <w:jc w:val="both"/>
      </w:pPr>
      <w:r>
        <w:t>A Payment Notification Form is sent</w:t>
      </w:r>
      <w:r w:rsidR="005569C9" w:rsidRPr="002773CE">
        <w:t xml:space="preserve"> to the Trade Ally and the customer</w:t>
      </w:r>
      <w:r>
        <w:t>.</w:t>
      </w:r>
    </w:p>
    <w:p w14:paraId="5D193D7E" w14:textId="77777777" w:rsidR="00AB46DA" w:rsidRPr="002773CE" w:rsidRDefault="00AB46DA" w:rsidP="00AB46DA">
      <w:pPr>
        <w:pStyle w:val="Default"/>
        <w:numPr>
          <w:ilvl w:val="0"/>
          <w:numId w:val="3"/>
        </w:numPr>
        <w:jc w:val="both"/>
      </w:pPr>
      <w:r w:rsidRPr="002773CE">
        <w:t xml:space="preserve">Incentive is paid to the Trade Ally and the customer pays the </w:t>
      </w:r>
      <w:r>
        <w:t>p</w:t>
      </w:r>
      <w:r w:rsidRPr="002773CE">
        <w:t xml:space="preserve">rogram-approved contractor the amount specified on the </w:t>
      </w:r>
      <w:r w:rsidR="00B642BF">
        <w:t>Payment Notification Form</w:t>
      </w:r>
      <w:r w:rsidRPr="002773CE">
        <w:t>.</w:t>
      </w:r>
    </w:p>
    <w:p w14:paraId="2C5900DD" w14:textId="77777777" w:rsidR="005569C9" w:rsidRDefault="005569C9" w:rsidP="001C719C">
      <w:pPr>
        <w:pStyle w:val="Default"/>
        <w:jc w:val="both"/>
        <w:rPr>
          <w:sz w:val="28"/>
          <w:szCs w:val="28"/>
        </w:rPr>
      </w:pPr>
    </w:p>
    <w:p w14:paraId="6D82DBF3" w14:textId="77777777" w:rsidR="005569C9" w:rsidRPr="00052A8A" w:rsidRDefault="005569C9" w:rsidP="00052A8A">
      <w:pPr>
        <w:pStyle w:val="Default"/>
        <w:ind w:left="720"/>
        <w:outlineLvl w:val="0"/>
        <w:rPr>
          <w:b/>
          <w:sz w:val="28"/>
          <w:szCs w:val="28"/>
        </w:rPr>
      </w:pPr>
      <w:bookmarkStart w:id="8" w:name="_Toc95915116"/>
      <w:r w:rsidRPr="00052A8A">
        <w:rPr>
          <w:b/>
          <w:sz w:val="28"/>
          <w:szCs w:val="28"/>
        </w:rPr>
        <w:t>4.1. No Assignment or Subcontracting</w:t>
      </w:r>
      <w:bookmarkEnd w:id="8"/>
    </w:p>
    <w:p w14:paraId="503CE5EC" w14:textId="77777777" w:rsidR="005569C9" w:rsidRPr="00EC66DD" w:rsidRDefault="005569C9" w:rsidP="001C719C">
      <w:pPr>
        <w:pStyle w:val="Default"/>
        <w:jc w:val="both"/>
        <w:rPr>
          <w:sz w:val="28"/>
          <w:szCs w:val="28"/>
        </w:rPr>
      </w:pPr>
    </w:p>
    <w:p w14:paraId="4B4D7742" w14:textId="394F2E47" w:rsidR="005569C9" w:rsidRPr="00EC66DD" w:rsidRDefault="005569C9" w:rsidP="001C719C">
      <w:pPr>
        <w:pStyle w:val="Default"/>
        <w:jc w:val="both"/>
      </w:pPr>
      <w:r w:rsidRPr="006D38A0">
        <w:t xml:space="preserve">The Trade Ally </w:t>
      </w:r>
      <w:r w:rsidR="00B56BC3">
        <w:t>will</w:t>
      </w:r>
      <w:r w:rsidR="00CE7BD3">
        <w:t xml:space="preserve"> </w:t>
      </w:r>
      <w:r w:rsidRPr="006D38A0">
        <w:t xml:space="preserve">not assign, transfer, </w:t>
      </w:r>
      <w:r w:rsidR="00507DD7" w:rsidRPr="006D38A0">
        <w:t>delegate,</w:t>
      </w:r>
      <w:r w:rsidR="00CE7BD3">
        <w:t xml:space="preserve"> </w:t>
      </w:r>
      <w:r w:rsidRPr="006D38A0">
        <w:t xml:space="preserve">or subcontract to another party any portion of this </w:t>
      </w:r>
      <w:r w:rsidR="00EB4983">
        <w:t>agreement</w:t>
      </w:r>
      <w:r w:rsidR="00CE7BD3">
        <w:t xml:space="preserve">, </w:t>
      </w:r>
      <w:r w:rsidR="00EB4983">
        <w:t>the assigned Easy</w:t>
      </w:r>
      <w:r w:rsidRPr="006D38A0">
        <w:t xml:space="preserve">Save portal logon credentials or </w:t>
      </w:r>
      <w:r w:rsidR="00CE7BD3">
        <w:t xml:space="preserve">any </w:t>
      </w:r>
      <w:r w:rsidRPr="006D38A0">
        <w:t>work to be performed. Subcontracting includes hiring contract employees, independent contractors</w:t>
      </w:r>
      <w:r w:rsidR="00CE7BD3">
        <w:t xml:space="preserve"> and </w:t>
      </w:r>
      <w:r w:rsidRPr="006D38A0">
        <w:t xml:space="preserve">day or seasonal laborers or </w:t>
      </w:r>
      <w:r w:rsidR="00CE7BD3">
        <w:t xml:space="preserve">using </w:t>
      </w:r>
      <w:r w:rsidRPr="006D38A0">
        <w:t xml:space="preserve">any other </w:t>
      </w:r>
      <w:r w:rsidR="00EB4983">
        <w:t>labor</w:t>
      </w:r>
      <w:r w:rsidRPr="006D38A0">
        <w:t xml:space="preserve"> relationships in which W-2 wages are not received from the Trade Ally. Only the Trade Ally and its employees who receive W-2 wages from the Trade Ally may represent themselves as participating in the TEP EasySave </w:t>
      </w:r>
      <w:r w:rsidR="003B2FC3">
        <w:t>p</w:t>
      </w:r>
      <w:r w:rsidRPr="006D38A0">
        <w:t xml:space="preserve">rogram. </w:t>
      </w:r>
    </w:p>
    <w:p w14:paraId="75E507B9" w14:textId="77777777" w:rsidR="005569C9" w:rsidRPr="00EC66DD" w:rsidRDefault="005569C9" w:rsidP="001C719C">
      <w:pPr>
        <w:pStyle w:val="Default"/>
        <w:jc w:val="both"/>
      </w:pPr>
    </w:p>
    <w:p w14:paraId="6E6641DC" w14:textId="77777777" w:rsidR="005569C9" w:rsidRPr="00052A8A" w:rsidRDefault="005569C9" w:rsidP="00052A8A">
      <w:pPr>
        <w:pStyle w:val="Default"/>
        <w:ind w:left="720"/>
        <w:outlineLvl w:val="0"/>
        <w:rPr>
          <w:b/>
          <w:sz w:val="28"/>
          <w:szCs w:val="28"/>
        </w:rPr>
      </w:pPr>
      <w:bookmarkStart w:id="9" w:name="_Toc95915117"/>
      <w:r w:rsidRPr="00052A8A">
        <w:rPr>
          <w:b/>
          <w:sz w:val="28"/>
          <w:szCs w:val="28"/>
        </w:rPr>
        <w:t>4.2. Walk-away Policy</w:t>
      </w:r>
      <w:bookmarkEnd w:id="9"/>
    </w:p>
    <w:p w14:paraId="63F98649" w14:textId="77777777" w:rsidR="005569C9" w:rsidRDefault="005569C9" w:rsidP="001C719C">
      <w:pPr>
        <w:pStyle w:val="Default"/>
        <w:jc w:val="both"/>
        <w:rPr>
          <w:sz w:val="28"/>
          <w:szCs w:val="28"/>
        </w:rPr>
      </w:pPr>
    </w:p>
    <w:p w14:paraId="76A197FA" w14:textId="77777777" w:rsidR="005569C9" w:rsidRDefault="005569C9" w:rsidP="001C719C">
      <w:pPr>
        <w:pStyle w:val="Default"/>
        <w:jc w:val="both"/>
      </w:pPr>
      <w:r>
        <w:t xml:space="preserve">Trade Allies must walk away from </w:t>
      </w:r>
      <w:r w:rsidR="002C0141">
        <w:t xml:space="preserve">proposals for projects </w:t>
      </w:r>
      <w:r w:rsidR="00744288">
        <w:t xml:space="preserve">at facilities with </w:t>
      </w:r>
      <w:r w:rsidR="00AB46DA">
        <w:t>any of the following</w:t>
      </w:r>
      <w:r w:rsidR="00744288">
        <w:t xml:space="preserve"> issues:</w:t>
      </w:r>
    </w:p>
    <w:p w14:paraId="30503C85" w14:textId="77777777" w:rsidR="005569C9" w:rsidRDefault="00744288" w:rsidP="001C719C">
      <w:pPr>
        <w:pStyle w:val="Default"/>
        <w:numPr>
          <w:ilvl w:val="0"/>
          <w:numId w:val="13"/>
        </w:numPr>
        <w:jc w:val="both"/>
      </w:pPr>
      <w:r>
        <w:t>Proposed</w:t>
      </w:r>
      <w:r w:rsidR="005569C9">
        <w:t xml:space="preserve"> technologies will not result in energy savings</w:t>
      </w:r>
    </w:p>
    <w:p w14:paraId="112E86F9" w14:textId="77777777" w:rsidR="005569C9" w:rsidRDefault="00744288" w:rsidP="001C719C">
      <w:pPr>
        <w:pStyle w:val="Default"/>
        <w:numPr>
          <w:ilvl w:val="0"/>
          <w:numId w:val="13"/>
        </w:numPr>
        <w:jc w:val="both"/>
      </w:pPr>
      <w:r>
        <w:t>E</w:t>
      </w:r>
      <w:r w:rsidR="005569C9">
        <w:t xml:space="preserve">xisting </w:t>
      </w:r>
      <w:r>
        <w:t>equipment is damaged and will render proposed</w:t>
      </w:r>
      <w:r w:rsidR="005569C9">
        <w:t xml:space="preserve"> technologies inefficient</w:t>
      </w:r>
    </w:p>
    <w:p w14:paraId="40FCAAF7" w14:textId="77777777" w:rsidR="00744288" w:rsidRDefault="00744288" w:rsidP="001C719C">
      <w:pPr>
        <w:pStyle w:val="Default"/>
        <w:numPr>
          <w:ilvl w:val="0"/>
          <w:numId w:val="13"/>
        </w:numPr>
        <w:jc w:val="both"/>
      </w:pPr>
      <w:r>
        <w:t xml:space="preserve">Retrofit incentives have already been granted for the same measure </w:t>
      </w:r>
      <w:r w:rsidR="005569C9">
        <w:t xml:space="preserve"> </w:t>
      </w:r>
    </w:p>
    <w:p w14:paraId="38379B86" w14:textId="77777777" w:rsidR="005569C9" w:rsidRDefault="00744288" w:rsidP="001C719C">
      <w:pPr>
        <w:pStyle w:val="Default"/>
        <w:numPr>
          <w:ilvl w:val="0"/>
          <w:numId w:val="13"/>
        </w:numPr>
        <w:jc w:val="both"/>
      </w:pPr>
      <w:r>
        <w:t xml:space="preserve">Fails to meet </w:t>
      </w:r>
      <w:r w:rsidR="005569C9">
        <w:t xml:space="preserve">EasySave </w:t>
      </w:r>
      <w:r w:rsidR="003B2FC3">
        <w:t>p</w:t>
      </w:r>
      <w:r w:rsidR="005569C9">
        <w:t>rogram eligibility requirements</w:t>
      </w:r>
    </w:p>
    <w:p w14:paraId="48563CB2" w14:textId="77777777" w:rsidR="005569C9" w:rsidRDefault="00744288" w:rsidP="001C719C">
      <w:pPr>
        <w:pStyle w:val="Default"/>
        <w:numPr>
          <w:ilvl w:val="0"/>
          <w:numId w:val="13"/>
        </w:numPr>
        <w:jc w:val="both"/>
      </w:pPr>
      <w:r>
        <w:t>Presence of</w:t>
      </w:r>
      <w:r w:rsidR="005569C9">
        <w:t xml:space="preserve"> asbestos</w:t>
      </w:r>
    </w:p>
    <w:p w14:paraId="2F634A6A" w14:textId="77777777" w:rsidR="005569C9" w:rsidRDefault="005569C9" w:rsidP="001C719C">
      <w:pPr>
        <w:pStyle w:val="Default"/>
        <w:numPr>
          <w:ilvl w:val="0"/>
          <w:numId w:val="13"/>
        </w:numPr>
        <w:jc w:val="both"/>
      </w:pPr>
      <w:r>
        <w:t xml:space="preserve">Safety </w:t>
      </w:r>
      <w:r w:rsidR="00744288">
        <w:t>v</w:t>
      </w:r>
      <w:r>
        <w:t>iolations</w:t>
      </w:r>
    </w:p>
    <w:p w14:paraId="0F2A7E81" w14:textId="77777777" w:rsidR="005569C9" w:rsidRPr="006D38A0" w:rsidRDefault="005569C9" w:rsidP="001C719C">
      <w:pPr>
        <w:pStyle w:val="Default"/>
        <w:numPr>
          <w:ilvl w:val="0"/>
          <w:numId w:val="13"/>
        </w:numPr>
        <w:jc w:val="both"/>
      </w:pPr>
      <w:r>
        <w:t xml:space="preserve">Code </w:t>
      </w:r>
      <w:r w:rsidR="00744288">
        <w:t>v</w:t>
      </w:r>
      <w:r>
        <w:t>iolations</w:t>
      </w:r>
    </w:p>
    <w:p w14:paraId="6C43E4F7" w14:textId="77777777" w:rsidR="005569C9" w:rsidRDefault="005569C9" w:rsidP="001C719C">
      <w:pPr>
        <w:pStyle w:val="Default"/>
        <w:jc w:val="both"/>
        <w:rPr>
          <w:sz w:val="28"/>
          <w:szCs w:val="28"/>
        </w:rPr>
      </w:pPr>
    </w:p>
    <w:p w14:paraId="03B3CA3A" w14:textId="77777777" w:rsidR="005569C9" w:rsidRPr="00052A8A" w:rsidRDefault="005569C9" w:rsidP="00052A8A">
      <w:pPr>
        <w:pStyle w:val="Default"/>
        <w:outlineLvl w:val="0"/>
        <w:rPr>
          <w:b/>
          <w:sz w:val="28"/>
          <w:szCs w:val="28"/>
        </w:rPr>
      </w:pPr>
      <w:bookmarkStart w:id="10" w:name="_Toc95915118"/>
      <w:r w:rsidRPr="00052A8A">
        <w:rPr>
          <w:b/>
          <w:sz w:val="28"/>
          <w:szCs w:val="28"/>
        </w:rPr>
        <w:t>5.</w:t>
      </w:r>
      <w:r w:rsidRPr="00052A8A">
        <w:rPr>
          <w:b/>
          <w:sz w:val="28"/>
          <w:szCs w:val="28"/>
        </w:rPr>
        <w:tab/>
        <w:t>Effective Dates for the Program</w:t>
      </w:r>
      <w:bookmarkEnd w:id="10"/>
    </w:p>
    <w:p w14:paraId="2361B52A" w14:textId="77777777" w:rsidR="005569C9" w:rsidRDefault="005569C9" w:rsidP="001C719C">
      <w:pPr>
        <w:pStyle w:val="Default"/>
        <w:jc w:val="both"/>
        <w:rPr>
          <w:sz w:val="28"/>
          <w:szCs w:val="28"/>
        </w:rPr>
      </w:pPr>
    </w:p>
    <w:p w14:paraId="766FD888" w14:textId="224AB93F" w:rsidR="005569C9" w:rsidRPr="002773CE" w:rsidRDefault="005569C9" w:rsidP="001C719C">
      <w:pPr>
        <w:pStyle w:val="Default"/>
        <w:jc w:val="both"/>
      </w:pPr>
      <w:r w:rsidRPr="002773CE">
        <w:t xml:space="preserve">The </w:t>
      </w:r>
      <w:r w:rsidR="00507DD7">
        <w:t>2022</w:t>
      </w:r>
      <w:r w:rsidR="00561A76">
        <w:t xml:space="preserve"> </w:t>
      </w:r>
      <w:r w:rsidRPr="002773CE">
        <w:t xml:space="preserve">EasySave </w:t>
      </w:r>
      <w:r w:rsidR="003B2FC3">
        <w:t>p</w:t>
      </w:r>
      <w:r w:rsidRPr="002773CE">
        <w:t xml:space="preserve">rogram </w:t>
      </w:r>
      <w:r w:rsidR="00561A76">
        <w:t>began on</w:t>
      </w:r>
      <w:r w:rsidRPr="00052A8A">
        <w:rPr>
          <w:color w:val="auto"/>
        </w:rPr>
        <w:t xml:space="preserve"> </w:t>
      </w:r>
      <w:r w:rsidR="000210A3">
        <w:rPr>
          <w:color w:val="auto"/>
        </w:rPr>
        <w:t xml:space="preserve">January 1, </w:t>
      </w:r>
      <w:r w:rsidR="00507DD7">
        <w:rPr>
          <w:color w:val="auto"/>
        </w:rPr>
        <w:t>2022</w:t>
      </w:r>
      <w:r w:rsidR="00D40DB4" w:rsidRPr="00052A8A">
        <w:rPr>
          <w:color w:val="auto"/>
        </w:rPr>
        <w:t xml:space="preserve">. </w:t>
      </w:r>
      <w:r w:rsidR="00CE7BD3">
        <w:t>P</w:t>
      </w:r>
      <w:r>
        <w:t xml:space="preserve">roject work completed prior to this date is </w:t>
      </w:r>
      <w:r w:rsidR="00CE7BD3">
        <w:t>in</w:t>
      </w:r>
      <w:r>
        <w:t xml:space="preserve">eligible for any incentives. </w:t>
      </w:r>
      <w:r w:rsidRPr="002773CE">
        <w:t xml:space="preserve">Available funds for this program are </w:t>
      </w:r>
      <w:r w:rsidRPr="00052A8A">
        <w:t>limited</w:t>
      </w:r>
      <w:r w:rsidRPr="002773CE">
        <w:t xml:space="preserve"> and it is possible that all </w:t>
      </w:r>
      <w:r w:rsidR="00CE7BD3">
        <w:t xml:space="preserve">program </w:t>
      </w:r>
      <w:r w:rsidRPr="002773CE">
        <w:t xml:space="preserve">funds will be committed before the end of the year. </w:t>
      </w:r>
    </w:p>
    <w:p w14:paraId="3BD2D62A" w14:textId="77777777" w:rsidR="005569C9" w:rsidRPr="002773CE" w:rsidRDefault="005569C9" w:rsidP="001C719C">
      <w:pPr>
        <w:pStyle w:val="Default"/>
        <w:jc w:val="both"/>
      </w:pPr>
    </w:p>
    <w:p w14:paraId="226ECD5F" w14:textId="27B16C9F" w:rsidR="005569C9" w:rsidRDefault="005569C9" w:rsidP="001C719C">
      <w:pPr>
        <w:pStyle w:val="Default"/>
        <w:jc w:val="both"/>
      </w:pPr>
      <w:r w:rsidRPr="002773CE">
        <w:t xml:space="preserve">Projects must be </w:t>
      </w:r>
      <w:r w:rsidR="006E38DB" w:rsidRPr="002773CE">
        <w:t>installed</w:t>
      </w:r>
      <w:r w:rsidRPr="002773CE">
        <w:t xml:space="preserve"> and the project completion form submitted within 45 business days of the change order received date</w:t>
      </w:r>
      <w:r w:rsidR="009C7536">
        <w:t>,</w:t>
      </w:r>
      <w:r w:rsidRPr="002773CE">
        <w:t xml:space="preserve"> upon passing pre-inspection</w:t>
      </w:r>
      <w:r w:rsidR="009C7536">
        <w:t xml:space="preserve"> or </w:t>
      </w:r>
      <w:r w:rsidR="00CE7BD3">
        <w:t xml:space="preserve">an </w:t>
      </w:r>
      <w:r w:rsidR="009C7536">
        <w:t xml:space="preserve">executed </w:t>
      </w:r>
      <w:r w:rsidR="00CE7BD3">
        <w:t>Participation Agreement (</w:t>
      </w:r>
      <w:r w:rsidR="009C7536">
        <w:t>in the event there is no pre-inspection</w:t>
      </w:r>
      <w:r w:rsidR="00CE7BD3">
        <w:t>)</w:t>
      </w:r>
      <w:r w:rsidR="009C7536">
        <w:t>,</w:t>
      </w:r>
      <w:r w:rsidRPr="002773CE">
        <w:t xml:space="preserve"> whichever is first.</w:t>
      </w:r>
      <w:r w:rsidR="009C7536">
        <w:t xml:space="preserve"> </w:t>
      </w:r>
      <w:r>
        <w:t xml:space="preserve">DNV will notify all parties of the approved Participation Agreement via email and will include a copy of the executed Agreement. </w:t>
      </w:r>
    </w:p>
    <w:p w14:paraId="0FC96D43" w14:textId="77777777" w:rsidR="005569C9" w:rsidRDefault="005569C9" w:rsidP="001C719C">
      <w:pPr>
        <w:pStyle w:val="Default"/>
        <w:jc w:val="both"/>
      </w:pPr>
    </w:p>
    <w:p w14:paraId="3D715C36" w14:textId="7DB82686" w:rsidR="005569C9" w:rsidRPr="002773CE" w:rsidRDefault="005569C9" w:rsidP="001C719C">
      <w:pPr>
        <w:pStyle w:val="Default"/>
        <w:jc w:val="both"/>
      </w:pPr>
      <w:r w:rsidRPr="007944E1">
        <w:t xml:space="preserve">DNV may cancel projects that do not meet these deadlines. DNV may grant an extension </w:t>
      </w:r>
      <w:r w:rsidR="007A1407" w:rsidRPr="007944E1">
        <w:t xml:space="preserve">of </w:t>
      </w:r>
      <w:r w:rsidR="007A1407">
        <w:t xml:space="preserve">an additional </w:t>
      </w:r>
      <w:r w:rsidR="007A1407" w:rsidRPr="007944E1">
        <w:t xml:space="preserve">45 business days to the project deadline date </w:t>
      </w:r>
      <w:r w:rsidRPr="007944E1">
        <w:t xml:space="preserve">upon submission of a written </w:t>
      </w:r>
      <w:proofErr w:type="gramStart"/>
      <w:r w:rsidRPr="007944E1">
        <w:t>request</w:t>
      </w:r>
      <w:r w:rsidR="007A1407">
        <w:t xml:space="preserve">, </w:t>
      </w:r>
      <w:r w:rsidR="000E46A2">
        <w:t>if</w:t>
      </w:r>
      <w:proofErr w:type="gramEnd"/>
      <w:r w:rsidR="007A1407">
        <w:t xml:space="preserve"> the new deadline date</w:t>
      </w:r>
      <w:r w:rsidRPr="007944E1">
        <w:t xml:space="preserve"> </w:t>
      </w:r>
      <w:r w:rsidR="00CE7BD3">
        <w:t xml:space="preserve">is before </w:t>
      </w:r>
      <w:r w:rsidR="00BF4BF7">
        <w:t>December 1</w:t>
      </w:r>
      <w:r w:rsidR="00CE7BD3">
        <w:t xml:space="preserve"> of the</w:t>
      </w:r>
      <w:r w:rsidRPr="007944E1">
        <w:t xml:space="preserve"> program </w:t>
      </w:r>
      <w:r w:rsidR="00CE7BD3">
        <w:t>year.</w:t>
      </w:r>
    </w:p>
    <w:p w14:paraId="40EB5849" w14:textId="77777777" w:rsidR="005569C9" w:rsidRDefault="005569C9" w:rsidP="001C719C">
      <w:pPr>
        <w:pStyle w:val="Default"/>
        <w:jc w:val="both"/>
        <w:rPr>
          <w:sz w:val="28"/>
          <w:szCs w:val="28"/>
        </w:rPr>
      </w:pPr>
    </w:p>
    <w:p w14:paraId="1FA6CC1A" w14:textId="77777777" w:rsidR="005569C9" w:rsidRPr="00052A8A" w:rsidRDefault="005569C9" w:rsidP="00052A8A">
      <w:pPr>
        <w:pStyle w:val="Default"/>
        <w:outlineLvl w:val="0"/>
        <w:rPr>
          <w:b/>
          <w:sz w:val="28"/>
          <w:szCs w:val="28"/>
        </w:rPr>
      </w:pPr>
      <w:bookmarkStart w:id="11" w:name="_Toc95915119"/>
      <w:r w:rsidRPr="00052A8A">
        <w:rPr>
          <w:b/>
          <w:sz w:val="28"/>
          <w:szCs w:val="28"/>
        </w:rPr>
        <w:t>6.</w:t>
      </w:r>
      <w:r w:rsidRPr="00052A8A">
        <w:rPr>
          <w:b/>
          <w:sz w:val="28"/>
          <w:szCs w:val="28"/>
        </w:rPr>
        <w:tab/>
        <w:t>Program Eligibility</w:t>
      </w:r>
      <w:bookmarkEnd w:id="11"/>
    </w:p>
    <w:p w14:paraId="5CF0C448" w14:textId="77777777" w:rsidR="005569C9" w:rsidRPr="002773CE" w:rsidRDefault="005569C9" w:rsidP="001C719C">
      <w:pPr>
        <w:pStyle w:val="Default"/>
        <w:jc w:val="both"/>
      </w:pPr>
    </w:p>
    <w:p w14:paraId="1BA6D8E6" w14:textId="77777777" w:rsidR="005569C9" w:rsidRDefault="005569C9" w:rsidP="007A1407">
      <w:pPr>
        <w:pStyle w:val="Default"/>
        <w:jc w:val="both"/>
      </w:pPr>
      <w:r w:rsidRPr="002773CE">
        <w:t xml:space="preserve">The intent of this program is to encourage small businesses to install energy efficient equipment. </w:t>
      </w:r>
      <w:r w:rsidR="007A1407">
        <w:t>Eligible businesses must be n</w:t>
      </w:r>
      <w:r w:rsidRPr="002773CE">
        <w:t xml:space="preserve">on-residential customers of TEP and must be on one of the following </w:t>
      </w:r>
      <w:r w:rsidR="003B2FC3">
        <w:t>pricing plans</w:t>
      </w:r>
      <w:r w:rsidRPr="002773CE">
        <w:t>:</w:t>
      </w:r>
      <w:r w:rsidR="007A1407">
        <w:t xml:space="preserve"> </w:t>
      </w:r>
      <w:r w:rsidR="00463721">
        <w:t>Small General Service Basic (</w:t>
      </w:r>
      <w:r w:rsidRPr="002773CE">
        <w:t>TG</w:t>
      </w:r>
      <w:r w:rsidR="007A1407">
        <w:t>SGS</w:t>
      </w:r>
      <w:r w:rsidR="00463721">
        <w:t>)</w:t>
      </w:r>
      <w:r w:rsidR="007A1407">
        <w:t xml:space="preserve">, </w:t>
      </w:r>
      <w:r w:rsidR="00463721">
        <w:t>Small General Service Time-of-Use (</w:t>
      </w:r>
      <w:r w:rsidR="007A1407">
        <w:t>TGSGST</w:t>
      </w:r>
      <w:r w:rsidR="00463721">
        <w:t>)</w:t>
      </w:r>
      <w:r w:rsidR="007A1407">
        <w:t xml:space="preserve">, </w:t>
      </w:r>
      <w:r w:rsidR="00463721">
        <w:t>Small General Service Peak Demand (</w:t>
      </w:r>
      <w:r w:rsidR="007A1407">
        <w:t>TGSGSD</w:t>
      </w:r>
      <w:r w:rsidR="00463721">
        <w:t>)</w:t>
      </w:r>
      <w:r w:rsidR="007A1407">
        <w:t xml:space="preserve"> or </w:t>
      </w:r>
      <w:r w:rsidR="00463721">
        <w:t>Small General Service Demand Time-of-Use (</w:t>
      </w:r>
      <w:r w:rsidR="007A1407">
        <w:t>TGSGSDT</w:t>
      </w:r>
      <w:r w:rsidR="00463721">
        <w:t>)</w:t>
      </w:r>
      <w:r w:rsidR="007A1407">
        <w:t>. A</w:t>
      </w:r>
      <w:r w:rsidRPr="002773CE">
        <w:t xml:space="preserve">ll K-12 schools on commercial electric </w:t>
      </w:r>
      <w:r w:rsidR="00463721">
        <w:t xml:space="preserve">plans </w:t>
      </w:r>
      <w:r w:rsidR="007A1407">
        <w:t>are eligible</w:t>
      </w:r>
      <w:r>
        <w:t>.</w:t>
      </w:r>
    </w:p>
    <w:p w14:paraId="6ADBA1C1" w14:textId="77777777" w:rsidR="007A1407" w:rsidRPr="002773CE" w:rsidRDefault="007A1407" w:rsidP="007A1407">
      <w:pPr>
        <w:pStyle w:val="Default"/>
        <w:jc w:val="both"/>
      </w:pPr>
    </w:p>
    <w:p w14:paraId="06D95DC8" w14:textId="77777777" w:rsidR="005569C9" w:rsidRPr="002F1B4C" w:rsidRDefault="005569C9" w:rsidP="001C719C">
      <w:pPr>
        <w:pStyle w:val="Default"/>
        <w:jc w:val="both"/>
        <w:rPr>
          <w:sz w:val="28"/>
          <w:szCs w:val="28"/>
        </w:rPr>
      </w:pPr>
      <w:r w:rsidRPr="002773CE">
        <w:t xml:space="preserve">Common areas of multifamily or mixed-use buildings are not eligible for incentives through this program. The customer cannot apply for or receive incentives for the same product, equipment or service from more than one utility or incentive program. </w:t>
      </w:r>
      <w:r>
        <w:t>For c</w:t>
      </w:r>
      <w:r w:rsidRPr="002773CE">
        <w:t xml:space="preserve">ustomers </w:t>
      </w:r>
      <w:r w:rsidR="00CE7BD3">
        <w:t>with</w:t>
      </w:r>
      <w:r w:rsidRPr="002773CE">
        <w:t xml:space="preserve"> multiple facilities, </w:t>
      </w:r>
      <w:r w:rsidRPr="007A1407">
        <w:rPr>
          <w:i/>
        </w:rPr>
        <w:t>all</w:t>
      </w:r>
      <w:r w:rsidRPr="002773CE">
        <w:t xml:space="preserve"> </w:t>
      </w:r>
      <w:r w:rsidR="007A1407">
        <w:t>such</w:t>
      </w:r>
      <w:r w:rsidRPr="002773CE">
        <w:t xml:space="preserve"> facilities must be on the </w:t>
      </w:r>
      <w:r w:rsidR="00463721">
        <w:t>plans</w:t>
      </w:r>
      <w:r w:rsidR="00463721" w:rsidRPr="002773CE">
        <w:t xml:space="preserve"> </w:t>
      </w:r>
      <w:r w:rsidRPr="002773CE">
        <w:t xml:space="preserve">listed above for </w:t>
      </w:r>
      <w:r w:rsidRPr="007A1407">
        <w:rPr>
          <w:i/>
        </w:rPr>
        <w:t>any</w:t>
      </w:r>
      <w:r w:rsidRPr="002773CE">
        <w:t xml:space="preserve"> of them to qualify.</w:t>
      </w:r>
      <w:r w:rsidRPr="002F1B4C">
        <w:rPr>
          <w:sz w:val="28"/>
          <w:szCs w:val="28"/>
        </w:rPr>
        <w:t xml:space="preserve"> </w:t>
      </w:r>
    </w:p>
    <w:p w14:paraId="5BEF6E16" w14:textId="77777777" w:rsidR="005569C9" w:rsidRDefault="005569C9" w:rsidP="001C719C">
      <w:pPr>
        <w:pStyle w:val="Default"/>
        <w:jc w:val="both"/>
        <w:rPr>
          <w:sz w:val="28"/>
          <w:szCs w:val="28"/>
        </w:rPr>
      </w:pPr>
    </w:p>
    <w:p w14:paraId="0B5F372F" w14:textId="77777777" w:rsidR="005569C9" w:rsidRPr="00052A8A" w:rsidRDefault="005569C9" w:rsidP="00052A8A">
      <w:pPr>
        <w:pStyle w:val="Default"/>
        <w:outlineLvl w:val="0"/>
        <w:rPr>
          <w:b/>
          <w:sz w:val="28"/>
          <w:szCs w:val="28"/>
        </w:rPr>
      </w:pPr>
      <w:bookmarkStart w:id="12" w:name="_Toc95915120"/>
      <w:r w:rsidRPr="00052A8A">
        <w:rPr>
          <w:b/>
          <w:sz w:val="28"/>
          <w:szCs w:val="28"/>
        </w:rPr>
        <w:t>7.</w:t>
      </w:r>
      <w:r w:rsidRPr="00052A8A">
        <w:rPr>
          <w:b/>
          <w:sz w:val="28"/>
          <w:szCs w:val="28"/>
        </w:rPr>
        <w:tab/>
        <w:t>Customer Disclosure Obligation</w:t>
      </w:r>
      <w:bookmarkEnd w:id="12"/>
    </w:p>
    <w:p w14:paraId="5ED4BCD8" w14:textId="77777777" w:rsidR="005569C9" w:rsidRDefault="005569C9" w:rsidP="001C719C">
      <w:pPr>
        <w:pStyle w:val="Default"/>
        <w:jc w:val="both"/>
        <w:rPr>
          <w:sz w:val="28"/>
          <w:szCs w:val="28"/>
        </w:rPr>
      </w:pPr>
    </w:p>
    <w:p w14:paraId="225DA235" w14:textId="77777777" w:rsidR="005569C9" w:rsidRPr="002773CE" w:rsidRDefault="005569C9" w:rsidP="001C719C">
      <w:pPr>
        <w:pStyle w:val="Default"/>
        <w:jc w:val="both"/>
      </w:pPr>
      <w:r w:rsidRPr="002773CE">
        <w:t>“Arizona consumers are not obligated to purchase any full fee service or other service not funded by this Program. This Program is funded by TEP utility ratepayers under the auspices of the Arizona Corporation Commission (ACC).”</w:t>
      </w:r>
    </w:p>
    <w:p w14:paraId="7D2488C4" w14:textId="77777777" w:rsidR="005569C9" w:rsidRPr="002773CE" w:rsidRDefault="005569C9" w:rsidP="001C719C">
      <w:pPr>
        <w:pStyle w:val="Default"/>
        <w:jc w:val="both"/>
      </w:pPr>
    </w:p>
    <w:p w14:paraId="7D9FCC46" w14:textId="77777777" w:rsidR="005569C9" w:rsidRPr="002773CE" w:rsidRDefault="005569C9" w:rsidP="001C719C">
      <w:pPr>
        <w:pStyle w:val="Default"/>
        <w:jc w:val="both"/>
      </w:pPr>
      <w:r w:rsidRPr="002773CE">
        <w:t xml:space="preserve">This disclosure statement is included on each </w:t>
      </w:r>
      <w:r w:rsidR="00CE7BD3">
        <w:t>P</w:t>
      </w:r>
      <w:r w:rsidRPr="002773CE">
        <w:t xml:space="preserve">articipation </w:t>
      </w:r>
      <w:r w:rsidR="00CE7BD3">
        <w:t>A</w:t>
      </w:r>
      <w:r w:rsidRPr="002773CE">
        <w:t xml:space="preserve">greement, </w:t>
      </w:r>
      <w:r w:rsidR="00CE7BD3">
        <w:t>which the customer must initialize.</w:t>
      </w:r>
    </w:p>
    <w:p w14:paraId="766C8A0B" w14:textId="77777777" w:rsidR="005569C9" w:rsidRDefault="005569C9" w:rsidP="001C719C">
      <w:pPr>
        <w:pStyle w:val="Default"/>
        <w:jc w:val="both"/>
        <w:rPr>
          <w:sz w:val="28"/>
          <w:szCs w:val="28"/>
        </w:rPr>
      </w:pPr>
    </w:p>
    <w:p w14:paraId="3CF8C880" w14:textId="77777777" w:rsidR="005569C9" w:rsidRPr="00052A8A" w:rsidRDefault="005569C9" w:rsidP="00052A8A">
      <w:pPr>
        <w:pStyle w:val="Default"/>
        <w:outlineLvl w:val="0"/>
        <w:rPr>
          <w:b/>
          <w:sz w:val="28"/>
          <w:szCs w:val="28"/>
        </w:rPr>
      </w:pPr>
      <w:bookmarkStart w:id="13" w:name="_Toc95915121"/>
      <w:r w:rsidRPr="00052A8A">
        <w:rPr>
          <w:b/>
          <w:sz w:val="28"/>
          <w:szCs w:val="28"/>
        </w:rPr>
        <w:t xml:space="preserve">8. </w:t>
      </w:r>
      <w:r w:rsidRPr="00052A8A">
        <w:rPr>
          <w:b/>
          <w:sz w:val="28"/>
          <w:szCs w:val="28"/>
        </w:rPr>
        <w:tab/>
        <w:t>Hazardous Waste Materials</w:t>
      </w:r>
      <w:bookmarkEnd w:id="13"/>
    </w:p>
    <w:p w14:paraId="2F309DC2" w14:textId="77777777" w:rsidR="005569C9" w:rsidRDefault="005569C9" w:rsidP="001C719C">
      <w:pPr>
        <w:pStyle w:val="Default"/>
        <w:jc w:val="both"/>
        <w:rPr>
          <w:sz w:val="28"/>
          <w:szCs w:val="28"/>
        </w:rPr>
      </w:pPr>
    </w:p>
    <w:p w14:paraId="7720EB59" w14:textId="1CAAE475" w:rsidR="005569C9" w:rsidRPr="006D38A0" w:rsidRDefault="005569C9" w:rsidP="001C719C">
      <w:pPr>
        <w:pStyle w:val="Default"/>
        <w:jc w:val="both"/>
      </w:pPr>
      <w:bookmarkStart w:id="14" w:name="_Hlk73086957"/>
      <w:r>
        <w:t xml:space="preserve">Trade </w:t>
      </w:r>
      <w:r w:rsidR="0057604D">
        <w:t>Allies</w:t>
      </w:r>
      <w:r w:rsidR="0057604D" w:rsidRPr="006D38A0">
        <w:t xml:space="preserve"> </w:t>
      </w:r>
      <w:r w:rsidRPr="006D38A0">
        <w:t xml:space="preserve">assume full responsibility for the </w:t>
      </w:r>
      <w:r w:rsidR="00E24F99">
        <w:t>appropriate</w:t>
      </w:r>
      <w:r w:rsidRPr="006D38A0">
        <w:t xml:space="preserve"> disposal of all ballast, fluorescent tubes and other waste material </w:t>
      </w:r>
      <w:r w:rsidR="00E24F99">
        <w:t xml:space="preserve">(whether hazardous or not) </w:t>
      </w:r>
      <w:r w:rsidRPr="006D38A0">
        <w:t xml:space="preserve">in compliance with the laws and regulations of the State of Arizona and the prevailing local jurisdiction. </w:t>
      </w:r>
      <w:r>
        <w:t>The Trade Ally</w:t>
      </w:r>
      <w:r w:rsidRPr="006D38A0">
        <w:t xml:space="preserve"> shall properly complete the Hazardous Waste Materials Manifest </w:t>
      </w:r>
      <w:r w:rsidR="00E24F99">
        <w:t>affirming</w:t>
      </w:r>
      <w:r w:rsidRPr="006D38A0">
        <w:t xml:space="preserve"> that </w:t>
      </w:r>
      <w:r w:rsidR="00E24F99">
        <w:t xml:space="preserve">all decommissioned </w:t>
      </w:r>
      <w:r w:rsidRPr="006D38A0">
        <w:t xml:space="preserve">ballasts, fluorescent </w:t>
      </w:r>
      <w:r w:rsidRPr="006D38A0">
        <w:lastRenderedPageBreak/>
        <w:t xml:space="preserve">tubes and other hazardous wastes were removed from the customer site. Contractor shall provide </w:t>
      </w:r>
      <w:r w:rsidR="00303E85">
        <w:t>DNV</w:t>
      </w:r>
      <w:r w:rsidRPr="006D38A0">
        <w:t xml:space="preserve"> with full documentation of all hazardous waste material disposals on request.</w:t>
      </w:r>
    </w:p>
    <w:bookmarkEnd w:id="14"/>
    <w:p w14:paraId="44F1A74C" w14:textId="77777777" w:rsidR="005569C9" w:rsidRDefault="005569C9" w:rsidP="001C719C">
      <w:pPr>
        <w:pStyle w:val="Default"/>
        <w:jc w:val="both"/>
        <w:rPr>
          <w:sz w:val="28"/>
          <w:szCs w:val="28"/>
        </w:rPr>
      </w:pPr>
    </w:p>
    <w:p w14:paraId="05ABF318" w14:textId="77777777" w:rsidR="005569C9" w:rsidRPr="00052A8A" w:rsidRDefault="005569C9" w:rsidP="00052A8A">
      <w:pPr>
        <w:pStyle w:val="Default"/>
        <w:outlineLvl w:val="0"/>
        <w:rPr>
          <w:b/>
          <w:sz w:val="28"/>
          <w:szCs w:val="28"/>
        </w:rPr>
      </w:pPr>
      <w:bookmarkStart w:id="15" w:name="_Toc95915122"/>
      <w:r w:rsidRPr="00052A8A">
        <w:rPr>
          <w:b/>
          <w:sz w:val="28"/>
          <w:szCs w:val="28"/>
        </w:rPr>
        <w:t>9.</w:t>
      </w:r>
      <w:r w:rsidRPr="00052A8A">
        <w:rPr>
          <w:b/>
          <w:sz w:val="28"/>
          <w:szCs w:val="28"/>
        </w:rPr>
        <w:tab/>
        <w:t>Program Process</w:t>
      </w:r>
      <w:bookmarkEnd w:id="15"/>
    </w:p>
    <w:p w14:paraId="30998316" w14:textId="77777777" w:rsidR="0057604D" w:rsidRDefault="0057604D" w:rsidP="001C719C">
      <w:pPr>
        <w:pStyle w:val="Default"/>
        <w:jc w:val="both"/>
      </w:pPr>
    </w:p>
    <w:p w14:paraId="0C46B2A5" w14:textId="6E2D7544" w:rsidR="005569C9" w:rsidRPr="006D38A0" w:rsidRDefault="005569C9" w:rsidP="001C719C">
      <w:pPr>
        <w:pStyle w:val="Default"/>
        <w:jc w:val="both"/>
        <w:rPr>
          <w:i/>
        </w:rPr>
      </w:pPr>
      <w:r w:rsidRPr="002773CE">
        <w:t xml:space="preserve">The </w:t>
      </w:r>
      <w:r w:rsidR="00D707AD">
        <w:t>eight</w:t>
      </w:r>
      <w:r w:rsidR="00D707AD" w:rsidRPr="002773CE">
        <w:t xml:space="preserve"> </w:t>
      </w:r>
      <w:r w:rsidRPr="002773CE">
        <w:t>steps of this program</w:t>
      </w:r>
      <w:r w:rsidR="0057604D" w:rsidRPr="002773CE">
        <w:t xml:space="preserve"> </w:t>
      </w:r>
      <w:r w:rsidR="0057604D">
        <w:t xml:space="preserve">outlined </w:t>
      </w:r>
      <w:r w:rsidR="00E24F99">
        <w:t xml:space="preserve">in Section 4 </w:t>
      </w:r>
      <w:r w:rsidRPr="002773CE">
        <w:t xml:space="preserve">are described in detail below, along </w:t>
      </w:r>
      <w:r w:rsidR="00E24F99">
        <w:t>with the responsibilities of the</w:t>
      </w:r>
      <w:r w:rsidRPr="002773CE">
        <w:t xml:space="preserve"> </w:t>
      </w:r>
      <w:r w:rsidR="00303E85">
        <w:t>DNV</w:t>
      </w:r>
      <w:r w:rsidRPr="002773CE">
        <w:t xml:space="preserve"> EasySave </w:t>
      </w:r>
      <w:r w:rsidR="0016464F">
        <w:t>p</w:t>
      </w:r>
      <w:r w:rsidRPr="002773CE">
        <w:t xml:space="preserve">rogram </w:t>
      </w:r>
      <w:r w:rsidR="0016464F">
        <w:t>t</w:t>
      </w:r>
      <w:r w:rsidR="00744288">
        <w:t>eam</w:t>
      </w:r>
      <w:r w:rsidRPr="002773CE">
        <w:t>, Trade Ally and the participating customer.</w:t>
      </w:r>
      <w:r w:rsidR="0057604D">
        <w:rPr>
          <w:i/>
        </w:rPr>
        <w:t xml:space="preserve"> </w:t>
      </w:r>
      <w:r w:rsidRPr="006D38A0">
        <w:rPr>
          <w:i/>
        </w:rPr>
        <w:t xml:space="preserve">An EasySave process flowchart can be found in Appendix B of this document. </w:t>
      </w:r>
    </w:p>
    <w:p w14:paraId="0F401AA4" w14:textId="77777777" w:rsidR="005569C9" w:rsidRPr="002773CE" w:rsidRDefault="005569C9" w:rsidP="001C719C">
      <w:pPr>
        <w:pStyle w:val="Default"/>
        <w:jc w:val="both"/>
      </w:pPr>
    </w:p>
    <w:p w14:paraId="294ACFFC" w14:textId="77777777" w:rsidR="005569C9" w:rsidRPr="002773CE" w:rsidRDefault="005569C9" w:rsidP="001C719C">
      <w:pPr>
        <w:pStyle w:val="Default"/>
        <w:jc w:val="both"/>
      </w:pPr>
      <w:r w:rsidRPr="002773CE">
        <w:t>A customer may choose to contact the TEP E</w:t>
      </w:r>
      <w:r w:rsidR="00577BB1">
        <w:t>asy</w:t>
      </w:r>
      <w:r w:rsidRPr="002773CE">
        <w:t>S</w:t>
      </w:r>
      <w:r w:rsidR="00577BB1">
        <w:t>ave</w:t>
      </w:r>
      <w:r w:rsidRPr="002773CE">
        <w:t xml:space="preserve"> </w:t>
      </w:r>
      <w:r w:rsidR="0016464F">
        <w:t>p</w:t>
      </w:r>
      <w:r w:rsidRPr="002773CE">
        <w:t xml:space="preserve">rogram </w:t>
      </w:r>
      <w:r w:rsidR="0016464F">
        <w:t>t</w:t>
      </w:r>
      <w:r w:rsidR="00744288">
        <w:t>eam</w:t>
      </w:r>
      <w:r w:rsidRPr="002773CE">
        <w:t xml:space="preserve"> to cancel a proposal at any time prior to the installation</w:t>
      </w:r>
      <w:r w:rsidRPr="007976CF">
        <w:t xml:space="preserve">. </w:t>
      </w:r>
      <w:r w:rsidR="0057604D">
        <w:t>Contractors</w:t>
      </w:r>
      <w:r w:rsidRPr="007976CF">
        <w:t xml:space="preserve"> </w:t>
      </w:r>
      <w:r w:rsidR="0057604D">
        <w:t>may not</w:t>
      </w:r>
      <w:r w:rsidR="0057604D" w:rsidRPr="002773CE">
        <w:t xml:space="preserve"> </w:t>
      </w:r>
      <w:r w:rsidRPr="002773CE">
        <w:t>penalize a customer in any way for cancelling a proposal prior to installation.</w:t>
      </w:r>
    </w:p>
    <w:p w14:paraId="3619B82F" w14:textId="77777777" w:rsidR="005569C9" w:rsidRPr="002773CE" w:rsidRDefault="005569C9" w:rsidP="001C719C">
      <w:pPr>
        <w:pStyle w:val="Default"/>
        <w:jc w:val="both"/>
      </w:pPr>
    </w:p>
    <w:p w14:paraId="13BBC169" w14:textId="77777777" w:rsidR="005569C9" w:rsidRPr="00052A8A" w:rsidRDefault="005569C9" w:rsidP="001C719C">
      <w:pPr>
        <w:pStyle w:val="Default"/>
        <w:jc w:val="both"/>
        <w:rPr>
          <w:i/>
        </w:rPr>
      </w:pPr>
      <w:r w:rsidRPr="002773CE">
        <w:t xml:space="preserve"> </w:t>
      </w:r>
      <w:r w:rsidRPr="002773CE">
        <w:tab/>
      </w:r>
      <w:r w:rsidRPr="00052A8A">
        <w:rPr>
          <w:i/>
        </w:rPr>
        <w:t>Step 1- Program Overview and Facility Assessment</w:t>
      </w:r>
    </w:p>
    <w:p w14:paraId="24F7A6EC" w14:textId="77777777" w:rsidR="005569C9" w:rsidRPr="002773CE" w:rsidRDefault="005569C9" w:rsidP="00052A8A">
      <w:pPr>
        <w:pStyle w:val="Default"/>
        <w:numPr>
          <w:ilvl w:val="0"/>
          <w:numId w:val="17"/>
        </w:numPr>
        <w:ind w:left="1440"/>
        <w:jc w:val="both"/>
      </w:pPr>
      <w:r w:rsidRPr="002773CE">
        <w:t xml:space="preserve">The Trade Ally visits the customer and proposes an implementation package that meets the needs of </w:t>
      </w:r>
      <w:r w:rsidR="0057604D">
        <w:t xml:space="preserve">the customer and program eligibility requirements. </w:t>
      </w:r>
      <w:r w:rsidRPr="002773CE">
        <w:t xml:space="preserve"> </w:t>
      </w:r>
    </w:p>
    <w:p w14:paraId="4BCB740A" w14:textId="77777777" w:rsidR="005569C9" w:rsidRPr="002773CE" w:rsidRDefault="005569C9" w:rsidP="001C719C">
      <w:pPr>
        <w:pStyle w:val="Default"/>
        <w:jc w:val="both"/>
      </w:pPr>
    </w:p>
    <w:p w14:paraId="572F8856" w14:textId="77777777" w:rsidR="005569C9" w:rsidRPr="00052A8A" w:rsidRDefault="005569C9" w:rsidP="001C719C">
      <w:pPr>
        <w:pStyle w:val="Default"/>
        <w:jc w:val="both"/>
        <w:rPr>
          <w:i/>
        </w:rPr>
      </w:pPr>
      <w:r w:rsidRPr="002773CE">
        <w:tab/>
      </w:r>
      <w:r w:rsidRPr="00052A8A">
        <w:rPr>
          <w:i/>
        </w:rPr>
        <w:t>Step 2</w:t>
      </w:r>
      <w:r w:rsidR="0057604D">
        <w:rPr>
          <w:i/>
        </w:rPr>
        <w:t xml:space="preserve"> </w:t>
      </w:r>
      <w:r w:rsidRPr="00052A8A">
        <w:rPr>
          <w:i/>
        </w:rPr>
        <w:t>- Project Proposal and Participation Agreement</w:t>
      </w:r>
    </w:p>
    <w:p w14:paraId="558E29E0" w14:textId="77777777" w:rsidR="005569C9" w:rsidRPr="002773CE" w:rsidRDefault="005569C9" w:rsidP="001C719C">
      <w:pPr>
        <w:pStyle w:val="Default"/>
        <w:numPr>
          <w:ilvl w:val="0"/>
          <w:numId w:val="4"/>
        </w:numPr>
        <w:spacing w:after="120"/>
        <w:jc w:val="both"/>
      </w:pPr>
      <w:r w:rsidRPr="002773CE">
        <w:t xml:space="preserve">The Trade Ally prepares the Participation Agreement </w:t>
      </w:r>
      <w:r w:rsidR="0057604D">
        <w:t xml:space="preserve">using the </w:t>
      </w:r>
      <w:r w:rsidRPr="002773CE">
        <w:t>EasySave program software</w:t>
      </w:r>
      <w:r w:rsidR="0057604D">
        <w:t>.</w:t>
      </w:r>
    </w:p>
    <w:p w14:paraId="49E96006" w14:textId="77777777" w:rsidR="005569C9" w:rsidRPr="002773CE" w:rsidRDefault="005569C9" w:rsidP="001C719C">
      <w:pPr>
        <w:pStyle w:val="Default"/>
        <w:numPr>
          <w:ilvl w:val="0"/>
          <w:numId w:val="4"/>
        </w:numPr>
        <w:spacing w:after="120"/>
        <w:jc w:val="both"/>
      </w:pPr>
      <w:r>
        <w:t xml:space="preserve">Approval of proposed measures is automatic if </w:t>
      </w:r>
      <w:r w:rsidR="0057604D">
        <w:t xml:space="preserve">the </w:t>
      </w:r>
      <w:r>
        <w:t>measures and costs are standard.</w:t>
      </w:r>
    </w:p>
    <w:p w14:paraId="1915A45E" w14:textId="60F8938F" w:rsidR="005569C9" w:rsidRDefault="00303E85" w:rsidP="001C719C">
      <w:pPr>
        <w:pStyle w:val="Default"/>
        <w:numPr>
          <w:ilvl w:val="0"/>
          <w:numId w:val="4"/>
        </w:numPr>
        <w:spacing w:after="120"/>
        <w:jc w:val="both"/>
      </w:pPr>
      <w:r>
        <w:t>DNV</w:t>
      </w:r>
      <w:r w:rsidR="009C7536">
        <w:t xml:space="preserve"> and TEP</w:t>
      </w:r>
      <w:r w:rsidR="005569C9" w:rsidRPr="002773CE">
        <w:t xml:space="preserve"> reviews and approves non-standard </w:t>
      </w:r>
      <w:r w:rsidR="005569C9">
        <w:t>measures</w:t>
      </w:r>
      <w:r w:rsidR="005569C9" w:rsidRPr="002773CE">
        <w:t xml:space="preserve"> as necessary. </w:t>
      </w:r>
    </w:p>
    <w:p w14:paraId="6E4F69FC" w14:textId="77777777" w:rsidR="009C7536" w:rsidRDefault="009C7536" w:rsidP="009C7536">
      <w:pPr>
        <w:pStyle w:val="Default"/>
        <w:numPr>
          <w:ilvl w:val="0"/>
          <w:numId w:val="4"/>
        </w:numPr>
        <w:spacing w:after="120"/>
        <w:jc w:val="both"/>
      </w:pPr>
      <w:r>
        <w:t xml:space="preserve">Within </w:t>
      </w:r>
      <w:r w:rsidR="00A11325">
        <w:t xml:space="preserve">30 calendar </w:t>
      </w:r>
      <w:r>
        <w:t>days, t</w:t>
      </w:r>
      <w:r w:rsidRPr="002773CE">
        <w:t>he customer will review</w:t>
      </w:r>
      <w:r w:rsidR="001E74B6">
        <w:t xml:space="preserve"> and signs</w:t>
      </w:r>
      <w:r w:rsidR="0057604D">
        <w:t xml:space="preserve"> </w:t>
      </w:r>
      <w:r w:rsidRPr="002773CE">
        <w:t xml:space="preserve">the Participation Agreement if they wish to </w:t>
      </w:r>
      <w:r w:rsidR="0057604D">
        <w:t>participate.</w:t>
      </w:r>
    </w:p>
    <w:p w14:paraId="77A1DF74" w14:textId="3B41B77B" w:rsidR="001E74B6" w:rsidRPr="002773CE" w:rsidRDefault="001E74B6" w:rsidP="009C7536">
      <w:pPr>
        <w:pStyle w:val="Default"/>
        <w:numPr>
          <w:ilvl w:val="0"/>
          <w:numId w:val="4"/>
        </w:numPr>
        <w:spacing w:after="120"/>
        <w:jc w:val="both"/>
      </w:pPr>
      <w:r>
        <w:t xml:space="preserve">The Trade Ally will submit the Participation Agreement to </w:t>
      </w:r>
      <w:r w:rsidR="00303E85">
        <w:t>DNV</w:t>
      </w:r>
      <w:r>
        <w:t>.</w:t>
      </w:r>
    </w:p>
    <w:p w14:paraId="18066F89" w14:textId="77777777" w:rsidR="005569C9" w:rsidRPr="002773CE" w:rsidRDefault="005569C9" w:rsidP="001C719C">
      <w:pPr>
        <w:pStyle w:val="Default"/>
        <w:ind w:left="1440"/>
        <w:jc w:val="both"/>
      </w:pPr>
    </w:p>
    <w:p w14:paraId="49F1A120" w14:textId="77777777" w:rsidR="005569C9" w:rsidRPr="00052A8A" w:rsidRDefault="005569C9" w:rsidP="001C719C">
      <w:pPr>
        <w:pStyle w:val="Default"/>
        <w:ind w:left="720"/>
        <w:jc w:val="both"/>
        <w:rPr>
          <w:i/>
        </w:rPr>
      </w:pPr>
      <w:r w:rsidRPr="00052A8A">
        <w:rPr>
          <w:i/>
        </w:rPr>
        <w:t>Step 3</w:t>
      </w:r>
      <w:r w:rsidR="0057604D">
        <w:rPr>
          <w:i/>
        </w:rPr>
        <w:t xml:space="preserve"> </w:t>
      </w:r>
      <w:r w:rsidRPr="00052A8A">
        <w:rPr>
          <w:i/>
        </w:rPr>
        <w:t>- Customer Eligibility Confirmation</w:t>
      </w:r>
    </w:p>
    <w:p w14:paraId="55BF37F8" w14:textId="6328BE0D" w:rsidR="0016464F" w:rsidRPr="00BA1E00" w:rsidRDefault="00303E85" w:rsidP="00052A8A">
      <w:pPr>
        <w:pStyle w:val="NoSpacing"/>
        <w:numPr>
          <w:ilvl w:val="0"/>
          <w:numId w:val="19"/>
        </w:numPr>
        <w:ind w:left="1440"/>
      </w:pPr>
      <w:r>
        <w:rPr>
          <w:sz w:val="24"/>
          <w:szCs w:val="24"/>
        </w:rPr>
        <w:t>DNV</w:t>
      </w:r>
      <w:r w:rsidR="005569C9" w:rsidRPr="00052A8A">
        <w:rPr>
          <w:sz w:val="24"/>
          <w:szCs w:val="24"/>
        </w:rPr>
        <w:t xml:space="preserve"> confirms customer eligibility through customer-provided utility bills or an eligible customer list from TEP. If the customer is ineligible, the proposal </w:t>
      </w:r>
      <w:r w:rsidR="0057604D" w:rsidRPr="00052A8A">
        <w:rPr>
          <w:sz w:val="24"/>
          <w:szCs w:val="24"/>
        </w:rPr>
        <w:t xml:space="preserve">is </w:t>
      </w:r>
      <w:r w:rsidR="005569C9" w:rsidRPr="00052A8A">
        <w:rPr>
          <w:sz w:val="24"/>
          <w:szCs w:val="24"/>
        </w:rPr>
        <w:t>cancelled.</w:t>
      </w:r>
    </w:p>
    <w:p w14:paraId="23D2FBCA" w14:textId="77777777" w:rsidR="005569C9" w:rsidRPr="00BA1E00" w:rsidRDefault="005569C9" w:rsidP="00052A8A">
      <w:pPr>
        <w:pStyle w:val="NoSpacing"/>
        <w:ind w:left="720"/>
      </w:pPr>
    </w:p>
    <w:p w14:paraId="70122DED" w14:textId="2D0FE6CB" w:rsidR="005569C9" w:rsidRPr="00BA1E00" w:rsidRDefault="00303E85" w:rsidP="00052A8A">
      <w:pPr>
        <w:pStyle w:val="NoSpacing"/>
        <w:numPr>
          <w:ilvl w:val="0"/>
          <w:numId w:val="19"/>
        </w:numPr>
        <w:ind w:left="1440"/>
      </w:pPr>
      <w:r>
        <w:rPr>
          <w:sz w:val="24"/>
          <w:szCs w:val="24"/>
        </w:rPr>
        <w:t>DNV</w:t>
      </w:r>
      <w:r w:rsidR="005569C9" w:rsidRPr="00052A8A">
        <w:rPr>
          <w:sz w:val="24"/>
          <w:szCs w:val="24"/>
        </w:rPr>
        <w:t xml:space="preserve"> executes the Participation Agreement and notifies </w:t>
      </w:r>
      <w:r w:rsidR="0057604D" w:rsidRPr="00052A8A">
        <w:rPr>
          <w:sz w:val="24"/>
          <w:szCs w:val="24"/>
        </w:rPr>
        <w:t xml:space="preserve">the </w:t>
      </w:r>
      <w:r w:rsidR="005569C9" w:rsidRPr="00052A8A">
        <w:rPr>
          <w:sz w:val="24"/>
          <w:szCs w:val="24"/>
        </w:rPr>
        <w:t xml:space="preserve">Trade Ally and </w:t>
      </w:r>
      <w:r w:rsidR="0016464F" w:rsidRPr="00052A8A">
        <w:rPr>
          <w:sz w:val="24"/>
          <w:szCs w:val="24"/>
        </w:rPr>
        <w:t>c</w:t>
      </w:r>
      <w:r w:rsidR="005569C9" w:rsidRPr="00052A8A">
        <w:rPr>
          <w:sz w:val="24"/>
          <w:szCs w:val="24"/>
        </w:rPr>
        <w:t xml:space="preserve">ustomer via email within 3 business days of receipt of the </w:t>
      </w:r>
      <w:r w:rsidR="0057604D" w:rsidRPr="00052A8A">
        <w:rPr>
          <w:sz w:val="24"/>
          <w:szCs w:val="24"/>
        </w:rPr>
        <w:t xml:space="preserve">agreement </w:t>
      </w:r>
      <w:r w:rsidR="005569C9" w:rsidRPr="00052A8A">
        <w:rPr>
          <w:sz w:val="24"/>
          <w:szCs w:val="24"/>
        </w:rPr>
        <w:t xml:space="preserve">from </w:t>
      </w:r>
      <w:r w:rsidR="0057604D" w:rsidRPr="00052A8A">
        <w:rPr>
          <w:sz w:val="24"/>
          <w:szCs w:val="24"/>
        </w:rPr>
        <w:t xml:space="preserve">the </w:t>
      </w:r>
      <w:r w:rsidR="005569C9" w:rsidRPr="00052A8A">
        <w:rPr>
          <w:sz w:val="24"/>
          <w:szCs w:val="24"/>
        </w:rPr>
        <w:t>Trade Ally.</w:t>
      </w:r>
      <w:r w:rsidR="005569C9" w:rsidRPr="00052A8A">
        <w:rPr>
          <w:sz w:val="24"/>
          <w:szCs w:val="24"/>
          <w:highlight w:val="yellow"/>
        </w:rPr>
        <w:t xml:space="preserve"> </w:t>
      </w:r>
    </w:p>
    <w:p w14:paraId="0478CA1F" w14:textId="77777777" w:rsidR="005569C9" w:rsidRPr="00BA1E00" w:rsidRDefault="005569C9" w:rsidP="00052A8A">
      <w:pPr>
        <w:pStyle w:val="NoSpacing"/>
      </w:pPr>
    </w:p>
    <w:p w14:paraId="28EEC5D4" w14:textId="77777777" w:rsidR="005569C9" w:rsidRPr="00052A8A" w:rsidRDefault="005569C9" w:rsidP="001C719C">
      <w:pPr>
        <w:pStyle w:val="Default"/>
        <w:ind w:left="720"/>
        <w:jc w:val="both"/>
        <w:rPr>
          <w:i/>
        </w:rPr>
      </w:pPr>
      <w:r w:rsidRPr="00052A8A">
        <w:rPr>
          <w:i/>
        </w:rPr>
        <w:t>Step 4</w:t>
      </w:r>
      <w:r w:rsidR="0057604D">
        <w:rPr>
          <w:i/>
        </w:rPr>
        <w:t xml:space="preserve"> </w:t>
      </w:r>
      <w:r w:rsidRPr="00052A8A">
        <w:rPr>
          <w:i/>
        </w:rPr>
        <w:t>- Pre-Installation Inspection</w:t>
      </w:r>
    </w:p>
    <w:p w14:paraId="6B282331" w14:textId="5615CD11" w:rsidR="005569C9" w:rsidRPr="002773CE" w:rsidRDefault="00303E85" w:rsidP="001C719C">
      <w:pPr>
        <w:pStyle w:val="Default"/>
        <w:numPr>
          <w:ilvl w:val="0"/>
          <w:numId w:val="5"/>
        </w:numPr>
        <w:spacing w:after="120"/>
        <w:jc w:val="both"/>
      </w:pPr>
      <w:r>
        <w:t>DNV</w:t>
      </w:r>
      <w:r w:rsidR="005569C9" w:rsidRPr="002773CE">
        <w:t xml:space="preserve"> may conduct a pre-installation inspection</w:t>
      </w:r>
      <w:r w:rsidR="005569C9">
        <w:t xml:space="preserve"> within </w:t>
      </w:r>
      <w:r w:rsidR="0057604D">
        <w:t>10</w:t>
      </w:r>
      <w:r w:rsidR="005569C9">
        <w:t xml:space="preserve"> business days of receipt of the Participation Agreement</w:t>
      </w:r>
      <w:r w:rsidR="005569C9" w:rsidRPr="002773CE">
        <w:t xml:space="preserve"> to ensure that all proposed measures </w:t>
      </w:r>
      <w:r w:rsidR="005569C9" w:rsidRPr="002773CE">
        <w:lastRenderedPageBreak/>
        <w:t>are fe</w:t>
      </w:r>
      <w:r w:rsidR="000E46A2">
        <w:t>asible and appropriate and</w:t>
      </w:r>
      <w:r w:rsidR="005569C9" w:rsidRPr="002773CE">
        <w:t xml:space="preserve"> </w:t>
      </w:r>
      <w:r w:rsidR="0057604D">
        <w:t xml:space="preserve">to verify </w:t>
      </w:r>
      <w:r w:rsidR="005569C9" w:rsidRPr="002773CE">
        <w:t>existing equipment.</w:t>
      </w:r>
      <w:r w:rsidR="005569C9">
        <w:t xml:space="preserve"> The inspector will arrange a time and date</w:t>
      </w:r>
      <w:r w:rsidR="0057604D">
        <w:t xml:space="preserve"> for the pre-installation inspection.</w:t>
      </w:r>
      <w:r w:rsidR="005569C9">
        <w:t xml:space="preserve"> </w:t>
      </w:r>
    </w:p>
    <w:p w14:paraId="7DDAEC15" w14:textId="77777777" w:rsidR="005569C9" w:rsidRPr="002773CE" w:rsidRDefault="005569C9" w:rsidP="001C719C">
      <w:pPr>
        <w:pStyle w:val="Default"/>
        <w:numPr>
          <w:ilvl w:val="0"/>
          <w:numId w:val="5"/>
        </w:numPr>
        <w:spacing w:after="120"/>
        <w:jc w:val="both"/>
      </w:pPr>
      <w:r w:rsidRPr="002773CE">
        <w:t>The customer will need to provide access to the facility.</w:t>
      </w:r>
    </w:p>
    <w:p w14:paraId="529FE760" w14:textId="77777777" w:rsidR="005569C9" w:rsidRPr="002773CE" w:rsidRDefault="00DD4E8D" w:rsidP="001C719C">
      <w:pPr>
        <w:pStyle w:val="Default"/>
        <w:numPr>
          <w:ilvl w:val="0"/>
          <w:numId w:val="5"/>
        </w:numPr>
        <w:spacing w:after="120"/>
        <w:jc w:val="both"/>
      </w:pPr>
      <w:r>
        <w:t>With a passing</w:t>
      </w:r>
      <w:r w:rsidR="005569C9" w:rsidRPr="002773CE">
        <w:t xml:space="preserve"> pre-installation inspection, </w:t>
      </w:r>
      <w:r>
        <w:t xml:space="preserve">project </w:t>
      </w:r>
      <w:r w:rsidR="005569C9" w:rsidRPr="002773CE">
        <w:t>installation can begin</w:t>
      </w:r>
      <w:r w:rsidR="005569C9">
        <w:t xml:space="preserve"> immediately</w:t>
      </w:r>
      <w:r w:rsidR="005569C9" w:rsidRPr="002773CE">
        <w:t xml:space="preserve">. </w:t>
      </w:r>
    </w:p>
    <w:p w14:paraId="5B7C308E" w14:textId="77777777" w:rsidR="005569C9" w:rsidRPr="002773CE" w:rsidRDefault="00DD4E8D" w:rsidP="001C719C">
      <w:pPr>
        <w:pStyle w:val="Default"/>
        <w:numPr>
          <w:ilvl w:val="0"/>
          <w:numId w:val="5"/>
        </w:numPr>
        <w:spacing w:after="120"/>
        <w:jc w:val="both"/>
      </w:pPr>
      <w:r>
        <w:t xml:space="preserve">With a failing </w:t>
      </w:r>
      <w:r w:rsidR="005569C9" w:rsidRPr="002773CE">
        <w:t xml:space="preserve">pre-installation inspection, the </w:t>
      </w:r>
      <w:r w:rsidR="005569C9" w:rsidRPr="001D319B">
        <w:t xml:space="preserve">Trade Ally will be notified </w:t>
      </w:r>
      <w:r>
        <w:t xml:space="preserve">by </w:t>
      </w:r>
      <w:r w:rsidR="005569C9" w:rsidRPr="000F5427">
        <w:t>email from the inspector</w:t>
      </w:r>
      <w:r w:rsidR="005569C9" w:rsidRPr="001D319B">
        <w:t>.</w:t>
      </w:r>
      <w:r w:rsidR="005569C9" w:rsidRPr="002773CE">
        <w:t xml:space="preserve"> </w:t>
      </w:r>
      <w:r>
        <w:t xml:space="preserve">Depending on the discrepancies found, a </w:t>
      </w:r>
      <w:r w:rsidR="005569C9">
        <w:t xml:space="preserve">modified </w:t>
      </w:r>
      <w:r w:rsidR="005569C9" w:rsidRPr="002773CE">
        <w:t xml:space="preserve">Participation Agreement and/or </w:t>
      </w:r>
      <w:r w:rsidR="001E74B6">
        <w:t>C</w:t>
      </w:r>
      <w:r w:rsidR="005569C9" w:rsidRPr="002773CE">
        <w:t xml:space="preserve">hange </w:t>
      </w:r>
      <w:r w:rsidR="001E74B6">
        <w:t>O</w:t>
      </w:r>
      <w:r w:rsidR="005569C9" w:rsidRPr="002773CE">
        <w:t>rder may be required</w:t>
      </w:r>
      <w:r w:rsidR="005569C9">
        <w:t xml:space="preserve"> </w:t>
      </w:r>
      <w:r>
        <w:t>and must be</w:t>
      </w:r>
      <w:r w:rsidR="005569C9">
        <w:t xml:space="preserve"> signed by applicable parties</w:t>
      </w:r>
      <w:r w:rsidR="005569C9" w:rsidRPr="002773CE">
        <w:t xml:space="preserve">. </w:t>
      </w:r>
    </w:p>
    <w:p w14:paraId="465F99E4" w14:textId="77777777" w:rsidR="005569C9" w:rsidRPr="002773CE" w:rsidRDefault="005569C9" w:rsidP="00052A8A">
      <w:pPr>
        <w:pStyle w:val="Default"/>
        <w:numPr>
          <w:ilvl w:val="1"/>
          <w:numId w:val="5"/>
        </w:numPr>
        <w:spacing w:after="120"/>
        <w:jc w:val="both"/>
      </w:pPr>
      <w:r w:rsidRPr="002773CE">
        <w:t xml:space="preserve">The Trade Ally </w:t>
      </w:r>
      <w:r w:rsidR="00DD4E8D">
        <w:t>has</w:t>
      </w:r>
      <w:r w:rsidRPr="002773CE">
        <w:t xml:space="preserve"> 10 business days to correct any discrepancies. After 10 business days, </w:t>
      </w:r>
      <w:r w:rsidR="00DD4E8D">
        <w:t xml:space="preserve">the project in full or in part may be rejected or cancelled. </w:t>
      </w:r>
      <w:r w:rsidRPr="002773CE">
        <w:t xml:space="preserve"> </w:t>
      </w:r>
    </w:p>
    <w:p w14:paraId="5C9FA5A7" w14:textId="77777777" w:rsidR="005569C9" w:rsidRPr="00052A8A" w:rsidRDefault="005569C9" w:rsidP="001C719C">
      <w:pPr>
        <w:pStyle w:val="Default"/>
        <w:ind w:left="720"/>
        <w:jc w:val="both"/>
        <w:rPr>
          <w:i/>
        </w:rPr>
      </w:pPr>
      <w:r w:rsidRPr="00052A8A">
        <w:rPr>
          <w:i/>
        </w:rPr>
        <w:t>Step 5</w:t>
      </w:r>
      <w:r w:rsidR="00DD4E8D" w:rsidRPr="00052A8A">
        <w:rPr>
          <w:i/>
        </w:rPr>
        <w:t xml:space="preserve"> </w:t>
      </w:r>
      <w:r w:rsidRPr="00052A8A">
        <w:rPr>
          <w:i/>
        </w:rPr>
        <w:t>- Measure Installation and Project Completion Form</w:t>
      </w:r>
    </w:p>
    <w:p w14:paraId="73A2F219" w14:textId="77777777" w:rsidR="005569C9" w:rsidRPr="002773CE" w:rsidRDefault="005569C9" w:rsidP="001C719C">
      <w:pPr>
        <w:pStyle w:val="Default"/>
        <w:numPr>
          <w:ilvl w:val="0"/>
          <w:numId w:val="6"/>
        </w:numPr>
        <w:spacing w:after="120"/>
        <w:jc w:val="both"/>
      </w:pPr>
      <w:r w:rsidRPr="002773CE">
        <w:t xml:space="preserve">The Trade Ally works with the customer to schedule the installation. </w:t>
      </w:r>
    </w:p>
    <w:p w14:paraId="4D2EA1A4" w14:textId="77777777" w:rsidR="005569C9" w:rsidRDefault="005569C9" w:rsidP="001C719C">
      <w:pPr>
        <w:pStyle w:val="Default"/>
        <w:numPr>
          <w:ilvl w:val="0"/>
          <w:numId w:val="6"/>
        </w:numPr>
        <w:spacing w:after="120"/>
        <w:jc w:val="both"/>
      </w:pPr>
      <w:r w:rsidRPr="002773CE">
        <w:t xml:space="preserve">The Trade Ally performs the installation within </w:t>
      </w:r>
      <w:r w:rsidR="0047485C">
        <w:t>45</w:t>
      </w:r>
      <w:r>
        <w:t xml:space="preserve"> business</w:t>
      </w:r>
      <w:r w:rsidRPr="002773CE">
        <w:t xml:space="preserve"> days of passed pre-inspection or </w:t>
      </w:r>
      <w:r w:rsidRPr="001D319B">
        <w:t xml:space="preserve">change order </w:t>
      </w:r>
      <w:r>
        <w:t>re-</w:t>
      </w:r>
      <w:r w:rsidRPr="001D319B">
        <w:t>submission</w:t>
      </w:r>
      <w:r>
        <w:t xml:space="preserve"> if required</w:t>
      </w:r>
      <w:r w:rsidRPr="002773CE">
        <w:t xml:space="preserve">, whichever is most recent. </w:t>
      </w:r>
    </w:p>
    <w:p w14:paraId="2CDE0B37" w14:textId="73AE24F8" w:rsidR="006A699E" w:rsidRPr="002773CE" w:rsidRDefault="00990F25" w:rsidP="007C5093">
      <w:pPr>
        <w:pStyle w:val="Default"/>
        <w:numPr>
          <w:ilvl w:val="0"/>
          <w:numId w:val="6"/>
        </w:numPr>
        <w:spacing w:after="100"/>
        <w:jc w:val="both"/>
      </w:pPr>
      <w:r>
        <w:t>For i</w:t>
      </w:r>
      <w:r w:rsidR="00C13BCB">
        <w:t>nstallations</w:t>
      </w:r>
      <w:r w:rsidR="006A699E" w:rsidRPr="00052A8A">
        <w:t xml:space="preserve"> that will not be completed within the program timeline, the </w:t>
      </w:r>
      <w:r w:rsidR="006A699E">
        <w:t>c</w:t>
      </w:r>
      <w:r w:rsidR="006A699E" w:rsidRPr="00052A8A">
        <w:t>ontractor must request an extension in writing</w:t>
      </w:r>
      <w:r w:rsidR="006A699E">
        <w:t xml:space="preserve">, which will be </w:t>
      </w:r>
      <w:r w:rsidR="006A699E" w:rsidRPr="00052A8A">
        <w:t xml:space="preserve">reviewed by the program </w:t>
      </w:r>
      <w:r w:rsidR="006A699E">
        <w:t>team</w:t>
      </w:r>
      <w:r w:rsidR="006A699E" w:rsidRPr="00052A8A">
        <w:t>.</w:t>
      </w:r>
    </w:p>
    <w:p w14:paraId="5D61073C" w14:textId="1D68DE6B" w:rsidR="005569C9" w:rsidRPr="002773CE" w:rsidRDefault="005569C9" w:rsidP="001C719C">
      <w:pPr>
        <w:pStyle w:val="Default"/>
        <w:numPr>
          <w:ilvl w:val="0"/>
          <w:numId w:val="6"/>
        </w:numPr>
        <w:spacing w:after="120"/>
        <w:jc w:val="both"/>
      </w:pPr>
      <w:r w:rsidRPr="002773CE">
        <w:t xml:space="preserve">Upon completion of the installation, the Trade Ally and customer will complete and </w:t>
      </w:r>
      <w:r w:rsidRPr="001D319B">
        <w:t>sign the Project Completion Form</w:t>
      </w:r>
      <w:r w:rsidRPr="002773CE">
        <w:t xml:space="preserve"> </w:t>
      </w:r>
      <w:r>
        <w:t>within 15 business days</w:t>
      </w:r>
      <w:r w:rsidRPr="002773CE">
        <w:t xml:space="preserve"> and </w:t>
      </w:r>
      <w:r>
        <w:t>submit</w:t>
      </w:r>
      <w:r w:rsidRPr="002773CE">
        <w:t xml:space="preserve"> it to </w:t>
      </w:r>
      <w:r w:rsidR="00303E85">
        <w:t>DNV</w:t>
      </w:r>
      <w:r w:rsidRPr="002773CE">
        <w:t xml:space="preserve"> via email. </w:t>
      </w:r>
    </w:p>
    <w:p w14:paraId="6E5F62DC" w14:textId="77777777" w:rsidR="005569C9" w:rsidRPr="002773CE" w:rsidRDefault="005569C9" w:rsidP="001C719C">
      <w:pPr>
        <w:pStyle w:val="Default"/>
        <w:jc w:val="both"/>
      </w:pPr>
    </w:p>
    <w:p w14:paraId="5C60787F" w14:textId="77777777" w:rsidR="005569C9" w:rsidRPr="00052A8A" w:rsidRDefault="005569C9" w:rsidP="001C719C">
      <w:pPr>
        <w:pStyle w:val="Default"/>
        <w:ind w:left="720"/>
        <w:jc w:val="both"/>
        <w:rPr>
          <w:i/>
        </w:rPr>
      </w:pPr>
      <w:r w:rsidRPr="00052A8A">
        <w:rPr>
          <w:i/>
        </w:rPr>
        <w:t>Step 6</w:t>
      </w:r>
      <w:r w:rsidR="00DD4E8D" w:rsidRPr="00052A8A">
        <w:rPr>
          <w:i/>
        </w:rPr>
        <w:t xml:space="preserve"> </w:t>
      </w:r>
      <w:r w:rsidRPr="00052A8A">
        <w:rPr>
          <w:i/>
        </w:rPr>
        <w:t>- Post-Installation Inspection</w:t>
      </w:r>
    </w:p>
    <w:p w14:paraId="7BFB9399" w14:textId="5B296F29" w:rsidR="005569C9" w:rsidRDefault="005569C9" w:rsidP="001C719C">
      <w:pPr>
        <w:pStyle w:val="Default"/>
        <w:numPr>
          <w:ilvl w:val="0"/>
          <w:numId w:val="7"/>
        </w:numPr>
        <w:spacing w:after="120"/>
        <w:jc w:val="both"/>
      </w:pPr>
      <w:r>
        <w:t xml:space="preserve">The </w:t>
      </w:r>
      <w:r w:rsidR="00303E85">
        <w:t>DNV</w:t>
      </w:r>
      <w:r w:rsidR="00DD4E8D">
        <w:t xml:space="preserve"> </w:t>
      </w:r>
      <w:r>
        <w:t xml:space="preserve">inspector </w:t>
      </w:r>
      <w:r w:rsidR="00DD4E8D">
        <w:t>schedules the post-inspection and notifie</w:t>
      </w:r>
      <w:r w:rsidR="001E74B6">
        <w:t>s</w:t>
      </w:r>
      <w:r w:rsidR="00DD4E8D">
        <w:t xml:space="preserve"> all parties. </w:t>
      </w:r>
      <w:r>
        <w:t xml:space="preserve"> </w:t>
      </w:r>
    </w:p>
    <w:p w14:paraId="7D5A5142" w14:textId="77777777" w:rsidR="005569C9" w:rsidRPr="002773CE" w:rsidRDefault="00DD4E8D" w:rsidP="001C719C">
      <w:pPr>
        <w:pStyle w:val="Default"/>
        <w:numPr>
          <w:ilvl w:val="0"/>
          <w:numId w:val="7"/>
        </w:numPr>
        <w:spacing w:after="120"/>
        <w:jc w:val="both"/>
      </w:pPr>
      <w:r>
        <w:t>The c</w:t>
      </w:r>
      <w:r w:rsidR="005569C9" w:rsidRPr="002773CE">
        <w:t>ustomer provides access to the facility</w:t>
      </w:r>
      <w:r>
        <w:t xml:space="preserve"> for the post-inspection.</w:t>
      </w:r>
    </w:p>
    <w:p w14:paraId="0CEC5AC6" w14:textId="5F9A4BE3" w:rsidR="005569C9" w:rsidRPr="002773CE" w:rsidRDefault="00303E85" w:rsidP="001C719C">
      <w:pPr>
        <w:pStyle w:val="Default"/>
        <w:numPr>
          <w:ilvl w:val="0"/>
          <w:numId w:val="7"/>
        </w:numPr>
        <w:spacing w:after="120"/>
        <w:jc w:val="both"/>
      </w:pPr>
      <w:r>
        <w:t>DNV</w:t>
      </w:r>
      <w:r w:rsidR="005569C9" w:rsidRPr="002773CE">
        <w:t xml:space="preserve"> conduct</w:t>
      </w:r>
      <w:r w:rsidR="00DD4E8D">
        <w:t>s</w:t>
      </w:r>
      <w:r w:rsidR="005569C9" w:rsidRPr="002773CE">
        <w:t xml:space="preserve"> a post-installation inspection to verify that all measures were correctly installed</w:t>
      </w:r>
      <w:r w:rsidR="005569C9">
        <w:t xml:space="preserve"> within 10 business days of inspection assignment</w:t>
      </w:r>
      <w:r w:rsidR="005569C9" w:rsidRPr="002773CE">
        <w:t>.</w:t>
      </w:r>
    </w:p>
    <w:p w14:paraId="626312E7" w14:textId="62264202" w:rsidR="005569C9" w:rsidRPr="002773CE" w:rsidRDefault="00303E85" w:rsidP="001C719C">
      <w:pPr>
        <w:pStyle w:val="Default"/>
        <w:numPr>
          <w:ilvl w:val="0"/>
          <w:numId w:val="7"/>
        </w:numPr>
        <w:spacing w:after="120"/>
        <w:jc w:val="both"/>
      </w:pPr>
      <w:r>
        <w:t>DNV</w:t>
      </w:r>
      <w:r w:rsidR="005569C9" w:rsidRPr="001D319B">
        <w:t xml:space="preserve"> notif</w:t>
      </w:r>
      <w:r w:rsidR="0016464F">
        <w:t>ie</w:t>
      </w:r>
      <w:r w:rsidR="00DD4E8D">
        <w:t>s</w:t>
      </w:r>
      <w:r w:rsidR="005569C9" w:rsidRPr="002773CE">
        <w:t xml:space="preserve"> the Trade Ally</w:t>
      </w:r>
      <w:r w:rsidR="005569C9">
        <w:t xml:space="preserve"> by email from the inspector</w:t>
      </w:r>
      <w:r w:rsidR="005569C9" w:rsidRPr="002773CE">
        <w:t xml:space="preserve"> if any d</w:t>
      </w:r>
      <w:r w:rsidR="005569C9">
        <w:t>iscrepancies</w:t>
      </w:r>
      <w:r w:rsidR="005569C9" w:rsidRPr="002773CE">
        <w:t xml:space="preserve"> are found.</w:t>
      </w:r>
    </w:p>
    <w:p w14:paraId="0DD911DF" w14:textId="77777777" w:rsidR="005569C9" w:rsidRPr="002773CE" w:rsidRDefault="005569C9" w:rsidP="001C719C">
      <w:pPr>
        <w:pStyle w:val="Default"/>
        <w:numPr>
          <w:ilvl w:val="1"/>
          <w:numId w:val="7"/>
        </w:numPr>
        <w:spacing w:after="120"/>
        <w:jc w:val="both"/>
      </w:pPr>
      <w:r w:rsidRPr="002773CE">
        <w:t xml:space="preserve">The Trade Ally </w:t>
      </w:r>
      <w:r w:rsidR="00DD4E8D">
        <w:t>has</w:t>
      </w:r>
      <w:r w:rsidRPr="002773CE">
        <w:t xml:space="preserve"> 10 business days to correct any discrepancies. After 10 business days, part of the proposal or the entire proposal may be rejected or cancelled.</w:t>
      </w:r>
    </w:p>
    <w:p w14:paraId="5B8F4558" w14:textId="77777777" w:rsidR="005569C9" w:rsidRPr="002773CE" w:rsidRDefault="005569C9" w:rsidP="001C719C">
      <w:pPr>
        <w:pStyle w:val="Default"/>
        <w:jc w:val="both"/>
      </w:pPr>
    </w:p>
    <w:p w14:paraId="226416B0" w14:textId="77777777" w:rsidR="005569C9" w:rsidRPr="00052A8A" w:rsidRDefault="005569C9" w:rsidP="001C719C">
      <w:pPr>
        <w:pStyle w:val="Default"/>
        <w:ind w:left="720"/>
        <w:jc w:val="both"/>
        <w:rPr>
          <w:i/>
        </w:rPr>
      </w:pPr>
      <w:r w:rsidRPr="00052A8A">
        <w:rPr>
          <w:i/>
        </w:rPr>
        <w:lastRenderedPageBreak/>
        <w:t>Step 7</w:t>
      </w:r>
      <w:r w:rsidR="00DD4E8D" w:rsidRPr="00052A8A">
        <w:rPr>
          <w:i/>
        </w:rPr>
        <w:t xml:space="preserve"> </w:t>
      </w:r>
      <w:r w:rsidRPr="00052A8A">
        <w:rPr>
          <w:i/>
        </w:rPr>
        <w:t xml:space="preserve">- Final Approval Process </w:t>
      </w:r>
    </w:p>
    <w:p w14:paraId="74C72FFB" w14:textId="77777777" w:rsidR="005569C9" w:rsidRDefault="00DD4E8D" w:rsidP="001C719C">
      <w:pPr>
        <w:pStyle w:val="Default"/>
        <w:numPr>
          <w:ilvl w:val="0"/>
          <w:numId w:val="9"/>
        </w:numPr>
        <w:spacing w:after="120"/>
        <w:jc w:val="both"/>
      </w:pPr>
      <w:r w:rsidRPr="00052A8A">
        <w:rPr>
          <w:i/>
        </w:rPr>
        <w:t>With a passing pre-installation inspection</w:t>
      </w:r>
      <w:r w:rsidR="005569C9" w:rsidRPr="002773CE">
        <w:t xml:space="preserve">, the </w:t>
      </w:r>
      <w:r>
        <w:t xml:space="preserve">incentive payment is processed. </w:t>
      </w:r>
    </w:p>
    <w:p w14:paraId="1888AC6B" w14:textId="70BF4474" w:rsidR="001E74B6" w:rsidRPr="002773CE" w:rsidRDefault="00303E85" w:rsidP="001E74B6">
      <w:pPr>
        <w:pStyle w:val="Default"/>
        <w:numPr>
          <w:ilvl w:val="1"/>
          <w:numId w:val="9"/>
        </w:numPr>
        <w:spacing w:after="120"/>
        <w:jc w:val="both"/>
      </w:pPr>
      <w:r>
        <w:t>DNV</w:t>
      </w:r>
      <w:r w:rsidR="001E74B6" w:rsidRPr="002773CE">
        <w:t xml:space="preserve"> notifies the customer and the Trade Ally </w:t>
      </w:r>
      <w:r w:rsidR="001E74B6">
        <w:t xml:space="preserve">by email </w:t>
      </w:r>
      <w:r w:rsidR="001E74B6" w:rsidRPr="002773CE">
        <w:t xml:space="preserve">that the proposal </w:t>
      </w:r>
      <w:r w:rsidR="001E74B6">
        <w:t xml:space="preserve">passed inspection via the Payment Notification Form. </w:t>
      </w:r>
      <w:r w:rsidR="001E74B6" w:rsidRPr="002773CE">
        <w:t xml:space="preserve"> </w:t>
      </w:r>
    </w:p>
    <w:p w14:paraId="4E4B3EA4" w14:textId="77777777" w:rsidR="005569C9" w:rsidRPr="002773CE" w:rsidRDefault="005569C9" w:rsidP="001C719C">
      <w:pPr>
        <w:pStyle w:val="Default"/>
        <w:numPr>
          <w:ilvl w:val="0"/>
          <w:numId w:val="9"/>
        </w:numPr>
        <w:spacing w:after="120"/>
        <w:jc w:val="both"/>
      </w:pPr>
      <w:r w:rsidRPr="000F5427">
        <w:rPr>
          <w:i/>
        </w:rPr>
        <w:t xml:space="preserve">If the post-installation inspection fails or no post-inspection is </w:t>
      </w:r>
      <w:r w:rsidR="00BF7E08">
        <w:rPr>
          <w:i/>
        </w:rPr>
        <w:t>conducted</w:t>
      </w:r>
      <w:r w:rsidRPr="001D319B">
        <w:t xml:space="preserve">, the Trade Ally and </w:t>
      </w:r>
      <w:r w:rsidRPr="007976CF">
        <w:t xml:space="preserve">customer have 10 business days </w:t>
      </w:r>
      <w:r w:rsidR="00BF7E08">
        <w:t xml:space="preserve">from email receipt of the Payment Notification Form </w:t>
      </w:r>
      <w:r w:rsidRPr="007976CF">
        <w:t xml:space="preserve">to contest the project details and </w:t>
      </w:r>
      <w:r w:rsidR="00BF7E08">
        <w:t>submit</w:t>
      </w:r>
      <w:r w:rsidR="00BF7E08" w:rsidRPr="007976CF">
        <w:t xml:space="preserve"> </w:t>
      </w:r>
      <w:r w:rsidRPr="007976CF">
        <w:t>corrections.</w:t>
      </w:r>
    </w:p>
    <w:p w14:paraId="37AEF524" w14:textId="77777777" w:rsidR="005569C9" w:rsidRPr="00052A8A" w:rsidRDefault="00BF7E08" w:rsidP="001C719C">
      <w:pPr>
        <w:pStyle w:val="Default"/>
        <w:spacing w:after="120"/>
        <w:ind w:left="720"/>
        <w:jc w:val="both"/>
        <w:rPr>
          <w:i/>
        </w:rPr>
      </w:pPr>
      <w:r w:rsidRPr="00052A8A">
        <w:rPr>
          <w:i/>
        </w:rPr>
        <w:t xml:space="preserve">Step 8 - </w:t>
      </w:r>
      <w:r w:rsidR="005569C9" w:rsidRPr="00052A8A">
        <w:rPr>
          <w:i/>
        </w:rPr>
        <w:t xml:space="preserve">Final Payment </w:t>
      </w:r>
    </w:p>
    <w:p w14:paraId="4DFF3E91" w14:textId="74B20E66" w:rsidR="005569C9" w:rsidRDefault="005569C9" w:rsidP="001C719C">
      <w:pPr>
        <w:pStyle w:val="Default"/>
        <w:numPr>
          <w:ilvl w:val="0"/>
          <w:numId w:val="9"/>
        </w:numPr>
        <w:spacing w:after="120"/>
        <w:jc w:val="both"/>
      </w:pPr>
      <w:r w:rsidRPr="002773CE">
        <w:t>Once the proposal is approved</w:t>
      </w:r>
      <w:r>
        <w:t xml:space="preserve"> for payment</w:t>
      </w:r>
      <w:r w:rsidRPr="002773CE">
        <w:t xml:space="preserve"> or </w:t>
      </w:r>
      <w:r w:rsidR="00BF7E08">
        <w:t>10</w:t>
      </w:r>
      <w:r w:rsidRPr="002773CE">
        <w:t xml:space="preserve"> business day</w:t>
      </w:r>
      <w:r>
        <w:t>s</w:t>
      </w:r>
      <w:r w:rsidRPr="002773CE">
        <w:t xml:space="preserve"> </w:t>
      </w:r>
      <w:r>
        <w:t xml:space="preserve">have </w:t>
      </w:r>
      <w:r w:rsidRPr="002773CE">
        <w:t xml:space="preserve">passed, </w:t>
      </w:r>
      <w:r w:rsidR="00303E85">
        <w:t>DNV</w:t>
      </w:r>
      <w:r w:rsidRPr="002773CE">
        <w:t xml:space="preserve"> request</w:t>
      </w:r>
      <w:r w:rsidR="00BF7E08">
        <w:t>s</w:t>
      </w:r>
      <w:r w:rsidRPr="002773CE">
        <w:t xml:space="preserve"> that a check be issued to the Trade Ally for the eligible incentive. </w:t>
      </w:r>
    </w:p>
    <w:p w14:paraId="54102E5F" w14:textId="5F2EFDC7" w:rsidR="005569C9" w:rsidRDefault="005569C9" w:rsidP="001C719C">
      <w:pPr>
        <w:pStyle w:val="Default"/>
        <w:numPr>
          <w:ilvl w:val="0"/>
          <w:numId w:val="9"/>
        </w:numPr>
        <w:jc w:val="both"/>
      </w:pPr>
      <w:r w:rsidRPr="002773CE">
        <w:t xml:space="preserve">The Trade Ally </w:t>
      </w:r>
      <w:r w:rsidR="00C65472">
        <w:t>will receive the</w:t>
      </w:r>
      <w:r w:rsidR="00BF7E08" w:rsidRPr="002773CE">
        <w:t xml:space="preserve"> </w:t>
      </w:r>
      <w:r w:rsidRPr="002773CE">
        <w:t xml:space="preserve">check </w:t>
      </w:r>
      <w:r w:rsidR="00C65472">
        <w:t xml:space="preserve">approximately </w:t>
      </w:r>
      <w:r>
        <w:t>4-</w:t>
      </w:r>
      <w:r w:rsidRPr="002773CE">
        <w:t xml:space="preserve">6 weeks </w:t>
      </w:r>
      <w:r w:rsidR="00BF7E08">
        <w:t>after</w:t>
      </w:r>
      <w:r w:rsidRPr="002773CE">
        <w:t xml:space="preserve"> the payment notification period.</w:t>
      </w:r>
    </w:p>
    <w:p w14:paraId="0BCFC95B" w14:textId="77777777" w:rsidR="005569C9" w:rsidRPr="002773CE" w:rsidRDefault="005569C9" w:rsidP="001C719C">
      <w:pPr>
        <w:pStyle w:val="Default"/>
        <w:jc w:val="both"/>
      </w:pPr>
    </w:p>
    <w:p w14:paraId="3D6C6F8A" w14:textId="77777777" w:rsidR="005569C9" w:rsidRPr="001D319B" w:rsidRDefault="005569C9" w:rsidP="001C719C">
      <w:pPr>
        <w:pStyle w:val="Default"/>
        <w:numPr>
          <w:ilvl w:val="0"/>
          <w:numId w:val="9"/>
        </w:numPr>
        <w:jc w:val="both"/>
      </w:pPr>
      <w:r w:rsidRPr="001D319B">
        <w:t>The Trade Ally invoice</w:t>
      </w:r>
      <w:r w:rsidR="00BF7E08">
        <w:t>s</w:t>
      </w:r>
      <w:r w:rsidRPr="001D319B">
        <w:t xml:space="preserve"> the customer for the balance of the project cost</w:t>
      </w:r>
      <w:r w:rsidRPr="000F5427">
        <w:t xml:space="preserve"> as indicated on the final payment notification form</w:t>
      </w:r>
      <w:r w:rsidRPr="001D319B">
        <w:t>.</w:t>
      </w:r>
      <w:r>
        <w:t xml:space="preserve"> </w:t>
      </w:r>
      <w:r w:rsidRPr="006A7509">
        <w:t xml:space="preserve">The project proposal obligates the participating </w:t>
      </w:r>
      <w:r w:rsidR="00BF7E08">
        <w:t>customer</w:t>
      </w:r>
      <w:r w:rsidR="00BF7E08" w:rsidRPr="006A7509">
        <w:t xml:space="preserve"> </w:t>
      </w:r>
      <w:r w:rsidRPr="006A7509">
        <w:t xml:space="preserve">to pay </w:t>
      </w:r>
      <w:r w:rsidR="00BF7E08">
        <w:t>the c</w:t>
      </w:r>
      <w:r w:rsidR="00BF7E08" w:rsidRPr="006A7509">
        <w:t xml:space="preserve">ontractor </w:t>
      </w:r>
      <w:r w:rsidRPr="006A7509">
        <w:t xml:space="preserve">for the residual amount of the project costs not covered by the rebate, as noted on the </w:t>
      </w:r>
      <w:r w:rsidR="00BF7E08">
        <w:t>P</w:t>
      </w:r>
      <w:r w:rsidRPr="006A7509">
        <w:t xml:space="preserve">ayment </w:t>
      </w:r>
      <w:r w:rsidR="00BF7E08">
        <w:t>N</w:t>
      </w:r>
      <w:r w:rsidRPr="006A7509">
        <w:t xml:space="preserve">otification </w:t>
      </w:r>
      <w:r w:rsidR="00BF7E08">
        <w:t>F</w:t>
      </w:r>
      <w:r w:rsidRPr="006A7509">
        <w:t>orm</w:t>
      </w:r>
      <w:r>
        <w:t>.</w:t>
      </w:r>
    </w:p>
    <w:p w14:paraId="03FFE5EA" w14:textId="77777777" w:rsidR="001330A6" w:rsidRDefault="001330A6" w:rsidP="00D219B5">
      <w:pPr>
        <w:pStyle w:val="Default"/>
        <w:rPr>
          <w:b/>
          <w:sz w:val="28"/>
          <w:szCs w:val="28"/>
        </w:rPr>
      </w:pPr>
    </w:p>
    <w:p w14:paraId="0B240140" w14:textId="77777777" w:rsidR="005569C9" w:rsidRPr="00052A8A" w:rsidRDefault="005569C9" w:rsidP="00052A8A">
      <w:pPr>
        <w:pStyle w:val="Default"/>
        <w:outlineLvl w:val="0"/>
        <w:rPr>
          <w:b/>
          <w:sz w:val="28"/>
          <w:szCs w:val="28"/>
        </w:rPr>
      </w:pPr>
      <w:bookmarkStart w:id="16" w:name="_Toc95915123"/>
      <w:r w:rsidRPr="00052A8A">
        <w:rPr>
          <w:b/>
          <w:sz w:val="28"/>
          <w:szCs w:val="28"/>
        </w:rPr>
        <w:t>10.</w:t>
      </w:r>
      <w:r w:rsidRPr="00052A8A">
        <w:rPr>
          <w:b/>
          <w:sz w:val="28"/>
          <w:szCs w:val="28"/>
        </w:rPr>
        <w:tab/>
        <w:t>Rebate Payment Process</w:t>
      </w:r>
      <w:bookmarkEnd w:id="16"/>
    </w:p>
    <w:p w14:paraId="7F50B369" w14:textId="77777777" w:rsidR="005569C9" w:rsidRDefault="005569C9" w:rsidP="001C719C">
      <w:pPr>
        <w:pStyle w:val="Default"/>
        <w:jc w:val="both"/>
        <w:rPr>
          <w:sz w:val="28"/>
          <w:szCs w:val="28"/>
        </w:rPr>
      </w:pPr>
    </w:p>
    <w:p w14:paraId="55FFC811" w14:textId="77777777" w:rsidR="00BF7E08" w:rsidRDefault="005569C9" w:rsidP="001C719C">
      <w:pPr>
        <w:pStyle w:val="Default"/>
        <w:jc w:val="both"/>
      </w:pPr>
      <w:r w:rsidRPr="002773CE">
        <w:t xml:space="preserve">The amount of the rebate is based on the type of retrofit. The participation agreement will list the cost and energy savings by measure and will clearly identify the portion of the total project cost that will be paid by the program and the amount to be paid by the customer. </w:t>
      </w:r>
    </w:p>
    <w:p w14:paraId="50AB1701" w14:textId="77777777" w:rsidR="00BF7E08" w:rsidRDefault="00BF7E08" w:rsidP="001C719C">
      <w:pPr>
        <w:pStyle w:val="Default"/>
        <w:jc w:val="both"/>
      </w:pPr>
    </w:p>
    <w:p w14:paraId="4E9E719B" w14:textId="62FCFB28" w:rsidR="005569C9" w:rsidRDefault="005569C9" w:rsidP="001C719C">
      <w:pPr>
        <w:pStyle w:val="Default"/>
        <w:jc w:val="both"/>
      </w:pPr>
      <w:r w:rsidRPr="002773CE">
        <w:t>The rebate amount is</w:t>
      </w:r>
      <w:r w:rsidR="00CE5453">
        <w:t xml:space="preserve"> $0.</w:t>
      </w:r>
      <w:r w:rsidR="006E38DB">
        <w:t>06</w:t>
      </w:r>
      <w:r w:rsidR="00CE5453">
        <w:t>/kWh,</w:t>
      </w:r>
      <w:r w:rsidRPr="002773CE">
        <w:t xml:space="preserve"> </w:t>
      </w:r>
      <w:r w:rsidR="007A3871">
        <w:t xml:space="preserve">capped </w:t>
      </w:r>
      <w:r w:rsidR="00990F25">
        <w:t xml:space="preserve">at </w:t>
      </w:r>
      <w:r w:rsidR="00671428">
        <w:t>up to</w:t>
      </w:r>
      <w:r w:rsidR="00172CBC">
        <w:t xml:space="preserve"> </w:t>
      </w:r>
      <w:r w:rsidR="006E38DB">
        <w:t xml:space="preserve">50 </w:t>
      </w:r>
      <w:r w:rsidR="00BF7E08">
        <w:t>percent</w:t>
      </w:r>
      <w:r w:rsidR="00BF7E08" w:rsidRPr="002773CE">
        <w:t xml:space="preserve"> </w:t>
      </w:r>
      <w:r w:rsidRPr="002773CE">
        <w:t>of the incremental measure costs</w:t>
      </w:r>
      <w:r w:rsidR="00172CBC">
        <w:t xml:space="preserve"> on selected measures</w:t>
      </w:r>
      <w:r w:rsidRPr="002773CE">
        <w:t xml:space="preserve">. </w:t>
      </w:r>
      <w:r w:rsidRPr="0016464F">
        <w:t>Incremental</w:t>
      </w:r>
      <w:r w:rsidRPr="002773CE">
        <w:t xml:space="preserve"> measure cost is the difference between the cost of installing a high</w:t>
      </w:r>
      <w:r w:rsidR="0016464F">
        <w:t>-</w:t>
      </w:r>
      <w:r w:rsidRPr="002773CE">
        <w:t>efficiency piece of equipment and the lower cost of installing a standard</w:t>
      </w:r>
      <w:r w:rsidR="0016464F">
        <w:t>-</w:t>
      </w:r>
      <w:r w:rsidRPr="002773CE">
        <w:t>efficien</w:t>
      </w:r>
      <w:r w:rsidR="0016464F">
        <w:t>cy</w:t>
      </w:r>
      <w:r w:rsidRPr="002773CE">
        <w:t xml:space="preserve"> piece of equipment. The EasySave </w:t>
      </w:r>
      <w:r w:rsidR="0016464F">
        <w:t>p</w:t>
      </w:r>
      <w:r w:rsidRPr="002773CE">
        <w:t xml:space="preserve">rogram </w:t>
      </w:r>
      <w:r w:rsidR="0016464F">
        <w:t>t</w:t>
      </w:r>
      <w:r w:rsidR="00744288">
        <w:t>eam</w:t>
      </w:r>
      <w:r w:rsidRPr="002773CE">
        <w:t xml:space="preserve"> will determine the incremental measure cost. In some cases</w:t>
      </w:r>
      <w:r w:rsidR="0016464F">
        <w:t>,</w:t>
      </w:r>
      <w:r w:rsidRPr="002773CE">
        <w:t xml:space="preserve"> the full measure cost will be used, </w:t>
      </w:r>
      <w:r w:rsidR="00484B46">
        <w:t xml:space="preserve">while </w:t>
      </w:r>
      <w:r w:rsidRPr="002773CE">
        <w:t>in other c</w:t>
      </w:r>
      <w:r w:rsidR="004A7C99">
        <w:t>ases only a portion of the full</w:t>
      </w:r>
      <w:r w:rsidRPr="002773CE">
        <w:t xml:space="preserve"> measure cost is appropriate. </w:t>
      </w:r>
    </w:p>
    <w:p w14:paraId="2F7924E5" w14:textId="77777777" w:rsidR="005569C9" w:rsidRDefault="005569C9" w:rsidP="001C719C">
      <w:pPr>
        <w:pStyle w:val="Default"/>
        <w:jc w:val="both"/>
      </w:pPr>
    </w:p>
    <w:p w14:paraId="55893A02" w14:textId="6DDF4D6C" w:rsidR="005569C9" w:rsidRPr="006D38A0" w:rsidRDefault="005569C9" w:rsidP="001C719C">
      <w:pPr>
        <w:pStyle w:val="Bullet"/>
        <w:jc w:val="both"/>
        <w:rPr>
          <w:rFonts w:asciiTheme="minorHAnsi" w:hAnsiTheme="minorHAnsi" w:cstheme="minorHAnsi"/>
        </w:rPr>
      </w:pPr>
      <w:r w:rsidRPr="006D38A0">
        <w:rPr>
          <w:rFonts w:asciiTheme="minorHAnsi" w:hAnsiTheme="minorHAnsi" w:cstheme="minorHAnsi"/>
          <w:color w:val="000000"/>
        </w:rPr>
        <w:t xml:space="preserve">DNV reserves the right to cancel or reduce the rebate payment if the program rules are not followed or if work completed by </w:t>
      </w:r>
      <w:r w:rsidR="00484B46">
        <w:rPr>
          <w:rFonts w:asciiTheme="minorHAnsi" w:hAnsiTheme="minorHAnsi" w:cstheme="minorHAnsi"/>
          <w:color w:val="000000"/>
        </w:rPr>
        <w:t>c</w:t>
      </w:r>
      <w:r w:rsidRPr="006D38A0">
        <w:rPr>
          <w:rFonts w:asciiTheme="minorHAnsi" w:hAnsiTheme="minorHAnsi" w:cstheme="minorHAnsi"/>
          <w:color w:val="000000"/>
        </w:rPr>
        <w:t xml:space="preserve">ontractor is materially different than what was contained on the change order or </w:t>
      </w:r>
      <w:r w:rsidR="00484B46">
        <w:rPr>
          <w:rFonts w:asciiTheme="minorHAnsi" w:hAnsiTheme="minorHAnsi" w:cstheme="minorHAnsi"/>
          <w:color w:val="000000"/>
        </w:rPr>
        <w:t>P</w:t>
      </w:r>
      <w:r w:rsidRPr="006D38A0">
        <w:rPr>
          <w:rFonts w:asciiTheme="minorHAnsi" w:hAnsiTheme="minorHAnsi" w:cstheme="minorHAnsi"/>
          <w:color w:val="000000"/>
        </w:rPr>
        <w:t xml:space="preserve">articipation </w:t>
      </w:r>
      <w:r w:rsidR="00484B46">
        <w:rPr>
          <w:rFonts w:asciiTheme="minorHAnsi" w:hAnsiTheme="minorHAnsi" w:cstheme="minorHAnsi"/>
          <w:color w:val="000000"/>
        </w:rPr>
        <w:t>A</w:t>
      </w:r>
      <w:r w:rsidRPr="006D38A0">
        <w:rPr>
          <w:rFonts w:asciiTheme="minorHAnsi" w:hAnsiTheme="minorHAnsi" w:cstheme="minorHAnsi"/>
          <w:color w:val="000000"/>
        </w:rPr>
        <w:t xml:space="preserve">greement. </w:t>
      </w:r>
    </w:p>
    <w:p w14:paraId="0C83503F" w14:textId="77777777" w:rsidR="005569C9" w:rsidRPr="002773CE" w:rsidRDefault="005569C9" w:rsidP="001C719C">
      <w:pPr>
        <w:pStyle w:val="Default"/>
        <w:jc w:val="both"/>
      </w:pPr>
    </w:p>
    <w:p w14:paraId="24AA3B7C" w14:textId="217A6FE2" w:rsidR="00484B46" w:rsidRDefault="005569C9" w:rsidP="001C719C">
      <w:pPr>
        <w:pStyle w:val="Default"/>
        <w:jc w:val="both"/>
      </w:pPr>
      <w:r w:rsidRPr="002773CE">
        <w:lastRenderedPageBreak/>
        <w:t xml:space="preserve">The Arizona Corporation Commission’s Decision 70457 requires that TEP consider federal, state </w:t>
      </w:r>
      <w:r w:rsidR="00484B46">
        <w:t xml:space="preserve">and </w:t>
      </w:r>
      <w:r w:rsidRPr="002773CE">
        <w:t xml:space="preserve">local tax incentives when calculating rebates. The rebate amount will be reduced by these tax incentives prior to applying </w:t>
      </w:r>
      <w:r w:rsidR="00172CBC">
        <w:t>up to a</w:t>
      </w:r>
      <w:r w:rsidR="00172CBC" w:rsidRPr="002773CE">
        <w:t xml:space="preserve"> </w:t>
      </w:r>
      <w:r w:rsidR="006E38DB">
        <w:t xml:space="preserve">50 </w:t>
      </w:r>
      <w:r w:rsidR="00484B46">
        <w:t>percent</w:t>
      </w:r>
      <w:r w:rsidR="00484B46" w:rsidRPr="001D319B">
        <w:t xml:space="preserve"> </w:t>
      </w:r>
      <w:r w:rsidRPr="001D319B">
        <w:t>cap</w:t>
      </w:r>
      <w:r w:rsidR="00172CBC">
        <w:t xml:space="preserve"> on selected measures</w:t>
      </w:r>
      <w:r w:rsidRPr="002773CE">
        <w:t xml:space="preserve">. </w:t>
      </w:r>
    </w:p>
    <w:p w14:paraId="31B8B92C" w14:textId="77777777" w:rsidR="00484B46" w:rsidRDefault="00484B46" w:rsidP="001C719C">
      <w:pPr>
        <w:pStyle w:val="Default"/>
        <w:jc w:val="both"/>
      </w:pPr>
    </w:p>
    <w:p w14:paraId="16A49E82" w14:textId="5A547FA9" w:rsidR="005569C9" w:rsidRPr="002773CE" w:rsidRDefault="005569C9" w:rsidP="001C719C">
      <w:pPr>
        <w:pStyle w:val="Default"/>
        <w:jc w:val="both"/>
      </w:pPr>
      <w:r w:rsidRPr="002773CE">
        <w:t xml:space="preserve">Since the potential value of tax incentives for businesses </w:t>
      </w:r>
      <w:r w:rsidR="000210A3" w:rsidRPr="002773CE">
        <w:t>depend</w:t>
      </w:r>
      <w:r w:rsidR="000210A3">
        <w:t>s on</w:t>
      </w:r>
      <w:r w:rsidRPr="002773CE">
        <w:t xml:space="preserve"> </w:t>
      </w:r>
      <w:r w:rsidR="00484B46">
        <w:t>many different variables,</w:t>
      </w:r>
      <w:r w:rsidRPr="002773CE">
        <w:t xml:space="preserve"> TEP cannot </w:t>
      </w:r>
      <w:r w:rsidR="00561A76">
        <w:t>estimate</w:t>
      </w:r>
      <w:r w:rsidR="00561A76" w:rsidRPr="002773CE">
        <w:t xml:space="preserve"> </w:t>
      </w:r>
      <w:r w:rsidRPr="002773CE">
        <w:t>tax benefits</w:t>
      </w:r>
      <w:r w:rsidR="00561A76">
        <w:t xml:space="preserve"> or liabilities</w:t>
      </w:r>
      <w:r w:rsidRPr="002773CE">
        <w:t xml:space="preserve"> for </w:t>
      </w:r>
      <w:r w:rsidR="00125DB9">
        <w:t>any</w:t>
      </w:r>
      <w:r w:rsidRPr="002773CE">
        <w:t xml:space="preserve"> business. </w:t>
      </w:r>
      <w:r w:rsidR="00484B46">
        <w:t>TEP</w:t>
      </w:r>
      <w:r w:rsidRPr="002773CE">
        <w:t xml:space="preserve"> requires that each applicant indicate their intent to file for tax incentives in addition to the value of those tax incentives.</w:t>
      </w:r>
    </w:p>
    <w:p w14:paraId="4461ACAE" w14:textId="77777777" w:rsidR="005569C9" w:rsidRPr="002773CE" w:rsidRDefault="005569C9" w:rsidP="001C719C">
      <w:pPr>
        <w:pStyle w:val="Default"/>
        <w:jc w:val="both"/>
      </w:pPr>
    </w:p>
    <w:p w14:paraId="722A65AD" w14:textId="344F21DB" w:rsidR="005569C9" w:rsidRDefault="005569C9" w:rsidP="001C719C">
      <w:pPr>
        <w:pStyle w:val="Default"/>
        <w:jc w:val="both"/>
      </w:pPr>
      <w:r w:rsidRPr="002773CE">
        <w:t xml:space="preserve">Once DNV </w:t>
      </w:r>
      <w:r w:rsidR="00BF7E08">
        <w:t>completes</w:t>
      </w:r>
      <w:r w:rsidRPr="002773CE">
        <w:t xml:space="preserve"> the post-installation inspection and any discrepancies have been resolved, the final </w:t>
      </w:r>
      <w:r w:rsidR="00BF7E08">
        <w:t>P</w:t>
      </w:r>
      <w:r w:rsidRPr="002773CE">
        <w:t xml:space="preserve">ayment </w:t>
      </w:r>
      <w:r w:rsidR="00BF7E08">
        <w:t>N</w:t>
      </w:r>
      <w:r w:rsidRPr="002773CE">
        <w:t xml:space="preserve">otification </w:t>
      </w:r>
      <w:r w:rsidR="00BF7E08">
        <w:t>F</w:t>
      </w:r>
      <w:r w:rsidRPr="002773CE">
        <w:t>orm is sent to the customer and contractor. If a project fails post-inspection or no post-inspection is performed</w:t>
      </w:r>
      <w:r w:rsidR="00125DB9">
        <w:t>,</w:t>
      </w:r>
      <w:r>
        <w:t xml:space="preserve"> the approved contractor and customer have 10 business days after the date of the payment </w:t>
      </w:r>
      <w:r w:rsidRPr="001D319B">
        <w:t xml:space="preserve">notification to review the payment notification form and </w:t>
      </w:r>
      <w:r w:rsidR="00484B46">
        <w:t>contest the findings in writing to</w:t>
      </w:r>
      <w:r w:rsidRPr="001D319B">
        <w:t xml:space="preserve"> DNV.</w:t>
      </w:r>
      <w:r w:rsidRPr="002773CE">
        <w:t xml:space="preserve"> </w:t>
      </w:r>
      <w:r w:rsidR="00484B46">
        <w:t>The 10</w:t>
      </w:r>
      <w:r w:rsidR="007A3871">
        <w:t>-</w:t>
      </w:r>
      <w:r w:rsidR="00484B46">
        <w:t xml:space="preserve">business day period is waived for projects passing the post-inspection. </w:t>
      </w:r>
      <w:r w:rsidRPr="002773CE">
        <w:t xml:space="preserve">Once the payment notification period is completed, rebate payments </w:t>
      </w:r>
      <w:r w:rsidR="00484B46">
        <w:t>are processed</w:t>
      </w:r>
      <w:r w:rsidRPr="002773CE">
        <w:t xml:space="preserve"> within six (6) weeks of this date.</w:t>
      </w:r>
    </w:p>
    <w:p w14:paraId="5F8B8F36" w14:textId="77777777" w:rsidR="005569C9" w:rsidRPr="00344E26" w:rsidRDefault="005569C9" w:rsidP="001C719C">
      <w:pPr>
        <w:pStyle w:val="Default"/>
        <w:jc w:val="both"/>
      </w:pPr>
    </w:p>
    <w:p w14:paraId="08020414" w14:textId="77777777" w:rsidR="0035641F" w:rsidRDefault="002A122F" w:rsidP="00052A8A">
      <w:pPr>
        <w:pStyle w:val="Default"/>
        <w:outlineLvl w:val="0"/>
        <w:rPr>
          <w:b/>
          <w:sz w:val="28"/>
          <w:szCs w:val="28"/>
        </w:rPr>
      </w:pPr>
      <w:bookmarkStart w:id="17" w:name="_Toc95915124"/>
      <w:r>
        <w:rPr>
          <w:b/>
          <w:sz w:val="28"/>
          <w:szCs w:val="28"/>
        </w:rPr>
        <w:t>11</w:t>
      </w:r>
      <w:r w:rsidR="0035641F">
        <w:rPr>
          <w:b/>
          <w:sz w:val="28"/>
          <w:szCs w:val="28"/>
        </w:rPr>
        <w:t xml:space="preserve">. </w:t>
      </w:r>
      <w:r w:rsidR="0035641F">
        <w:rPr>
          <w:b/>
          <w:sz w:val="28"/>
          <w:szCs w:val="28"/>
        </w:rPr>
        <w:tab/>
        <w:t>Custom Measures</w:t>
      </w:r>
      <w:bookmarkEnd w:id="17"/>
    </w:p>
    <w:p w14:paraId="50633799" w14:textId="77777777" w:rsidR="00FD6B4F" w:rsidRDefault="00FD6B4F" w:rsidP="000E3413">
      <w:pPr>
        <w:pStyle w:val="Default"/>
      </w:pPr>
    </w:p>
    <w:p w14:paraId="0958DB9A" w14:textId="5AD29105" w:rsidR="000E3413" w:rsidRDefault="000E3413" w:rsidP="000E3413">
      <w:pPr>
        <w:pStyle w:val="Default"/>
      </w:pPr>
      <w:r>
        <w:t xml:space="preserve">Custom lighting measures will be available for new EasySave proposals. Custom measures are defined as innovative energy efficient solutions not included in the list of qualified prescriptive measures available in the EasySave </w:t>
      </w:r>
      <w:r w:rsidR="002A45CC">
        <w:t>p</w:t>
      </w:r>
      <w:r>
        <w:t xml:space="preserve">rogram software. Custom lighting measures must have isolated and measurable or verifiable energy savings. Projects replacing inefficient equipment with more efficient equipment must demonstrate that the old equipment has been eliminated from the resale market. All custom measures must pass a Societal Cost Test (SCT), as defined and calculated by </w:t>
      </w:r>
      <w:r w:rsidR="00303E85">
        <w:t>DNV</w:t>
      </w:r>
      <w:r>
        <w:t>, using energy savings and incremental measure costs provided by the contractor.</w:t>
      </w:r>
    </w:p>
    <w:p w14:paraId="30ED4F74" w14:textId="77777777" w:rsidR="003E5D9D" w:rsidRDefault="003E5D9D" w:rsidP="000E3413">
      <w:pPr>
        <w:pStyle w:val="Default"/>
      </w:pPr>
    </w:p>
    <w:p w14:paraId="4E9F28DA" w14:textId="34F602BF" w:rsidR="00FD6B4F" w:rsidRDefault="003E5D9D" w:rsidP="000E3413">
      <w:pPr>
        <w:pStyle w:val="Default"/>
      </w:pPr>
      <w:r>
        <w:t>Custom measures are limited to lighting only as indicated on the worksheet</w:t>
      </w:r>
      <w:r w:rsidR="00F87402">
        <w:t>;</w:t>
      </w:r>
      <w:r>
        <w:t xml:space="preserve"> no other custom measures </w:t>
      </w:r>
      <w:r w:rsidR="00561A76">
        <w:t>are</w:t>
      </w:r>
      <w:r>
        <w:t xml:space="preserve"> eligible </w:t>
      </w:r>
      <w:r w:rsidR="00561A76">
        <w:t xml:space="preserve">through the </w:t>
      </w:r>
      <w:r>
        <w:t>EasySave</w:t>
      </w:r>
      <w:r w:rsidR="00561A76">
        <w:t xml:space="preserve"> </w:t>
      </w:r>
      <w:r w:rsidR="00990F25">
        <w:t>p</w:t>
      </w:r>
      <w:r w:rsidR="00561A76">
        <w:t>rogram</w:t>
      </w:r>
      <w:r>
        <w:t xml:space="preserve">. </w:t>
      </w:r>
      <w:r w:rsidR="00F772B4">
        <w:t>Proposals submitted with worksheets</w:t>
      </w:r>
      <w:r w:rsidR="00AD04A5">
        <w:t xml:space="preserve"> for other than </w:t>
      </w:r>
      <w:r w:rsidR="00F772B4">
        <w:t xml:space="preserve">EasySave </w:t>
      </w:r>
      <w:r w:rsidR="00AD04A5">
        <w:t xml:space="preserve">Custom Lighting </w:t>
      </w:r>
      <w:r w:rsidR="00F772B4">
        <w:t xml:space="preserve">measures will be rejected. </w:t>
      </w:r>
    </w:p>
    <w:p w14:paraId="4AEF13A1" w14:textId="77777777" w:rsidR="00FD6B4F" w:rsidRDefault="00FD6B4F" w:rsidP="000E3413">
      <w:pPr>
        <w:pStyle w:val="Default"/>
      </w:pPr>
    </w:p>
    <w:p w14:paraId="50D0D88F" w14:textId="00B5F295" w:rsidR="00F772B4" w:rsidRDefault="00F772B4" w:rsidP="000E3413">
      <w:pPr>
        <w:pStyle w:val="Default"/>
      </w:pPr>
      <w:r w:rsidRPr="00C875B1">
        <w:t>Applications for projects</w:t>
      </w:r>
      <w:r w:rsidR="00FD6B4F">
        <w:t xml:space="preserve"> </w:t>
      </w:r>
      <w:r w:rsidRPr="00C875B1">
        <w:t xml:space="preserve">must be submitted </w:t>
      </w:r>
      <w:r w:rsidR="00FD6B4F" w:rsidRPr="00C875B1">
        <w:t xml:space="preserve">in their entirety </w:t>
      </w:r>
      <w:r w:rsidR="00FD6B4F">
        <w:t>through only</w:t>
      </w:r>
      <w:r w:rsidRPr="00C875B1">
        <w:t xml:space="preserve"> one of TEP’s programs: EasySave, EasySave Plus, Schools Energy Efficiency (pilot)</w:t>
      </w:r>
      <w:r w:rsidR="007D28F1">
        <w:t xml:space="preserve"> </w:t>
      </w:r>
      <w:r w:rsidRPr="00C875B1">
        <w:t xml:space="preserve">or New Construction. Since these programs have different requirements and incentives, the customer and contractor must jointly determine which program offers the optimum benefits.  </w:t>
      </w:r>
    </w:p>
    <w:p w14:paraId="7710D451" w14:textId="77777777" w:rsidR="000E3413" w:rsidRDefault="000E3413" w:rsidP="000E3413">
      <w:pPr>
        <w:pStyle w:val="Default"/>
      </w:pPr>
    </w:p>
    <w:p w14:paraId="5BAE169E" w14:textId="7E116B05" w:rsidR="00743C12" w:rsidRDefault="008067E3" w:rsidP="000E3413">
      <w:pPr>
        <w:pStyle w:val="Default"/>
      </w:pPr>
      <w:r>
        <w:t xml:space="preserve">To submit </w:t>
      </w:r>
      <w:r w:rsidR="00FD6B4F">
        <w:t>a new EasySave proposal for a</w:t>
      </w:r>
      <w:r>
        <w:t xml:space="preserve"> custom lighting application, the Trade Ally must </w:t>
      </w:r>
      <w:r w:rsidR="00743C12">
        <w:t>provide:</w:t>
      </w:r>
    </w:p>
    <w:p w14:paraId="40A69A84" w14:textId="77777777" w:rsidR="00743C12" w:rsidRDefault="00743C12" w:rsidP="000E3413">
      <w:pPr>
        <w:pStyle w:val="Default"/>
      </w:pPr>
    </w:p>
    <w:p w14:paraId="5282A21A" w14:textId="12A54592" w:rsidR="00743C12" w:rsidRDefault="00FD6B4F" w:rsidP="003E5D9D">
      <w:pPr>
        <w:pStyle w:val="Default"/>
        <w:numPr>
          <w:ilvl w:val="0"/>
          <w:numId w:val="21"/>
        </w:numPr>
      </w:pPr>
      <w:r>
        <w:t xml:space="preserve">A </w:t>
      </w:r>
      <w:r w:rsidR="003E5D9D">
        <w:t>completed</w:t>
      </w:r>
      <w:r w:rsidR="008067E3">
        <w:t xml:space="preserve"> EasySave Plus </w:t>
      </w:r>
      <w:r>
        <w:t>application</w:t>
      </w:r>
      <w:r w:rsidR="008067E3">
        <w:t xml:space="preserve"> </w:t>
      </w:r>
      <w:r>
        <w:t>that indicates the</w:t>
      </w:r>
      <w:r w:rsidR="008067E3">
        <w:t xml:space="preserve"> submission is </w:t>
      </w:r>
      <w:r w:rsidR="003E5D9D">
        <w:t xml:space="preserve">for </w:t>
      </w:r>
      <w:r>
        <w:t>a</w:t>
      </w:r>
      <w:r w:rsidR="008067E3">
        <w:t xml:space="preserve"> custom measure and </w:t>
      </w:r>
      <w:r w:rsidR="0087110B">
        <w:t>include</w:t>
      </w:r>
      <w:r>
        <w:t>s</w:t>
      </w:r>
      <w:r w:rsidR="008067E3">
        <w:t xml:space="preserve"> the corresponding</w:t>
      </w:r>
      <w:r w:rsidR="00ED5284">
        <w:t xml:space="preserve"> EasySave</w:t>
      </w:r>
      <w:r w:rsidR="008067E3">
        <w:t xml:space="preserve"> proposal </w:t>
      </w:r>
      <w:r>
        <w:t>identification,</w:t>
      </w:r>
      <w:r w:rsidR="00F772B4">
        <w:t xml:space="preserve"> if assigned</w:t>
      </w:r>
    </w:p>
    <w:p w14:paraId="7891ABB7" w14:textId="77777777" w:rsidR="00743C12" w:rsidRDefault="00743C12" w:rsidP="003E5D9D">
      <w:pPr>
        <w:pStyle w:val="Default"/>
        <w:ind w:left="720"/>
      </w:pPr>
    </w:p>
    <w:p w14:paraId="07757762" w14:textId="1C265911" w:rsidR="00743C12" w:rsidRDefault="00FD6B4F" w:rsidP="003E5D9D">
      <w:pPr>
        <w:pStyle w:val="Default"/>
        <w:numPr>
          <w:ilvl w:val="0"/>
          <w:numId w:val="21"/>
        </w:numPr>
      </w:pPr>
      <w:r>
        <w:t xml:space="preserve">A </w:t>
      </w:r>
      <w:r w:rsidR="000A370F">
        <w:t>completed</w:t>
      </w:r>
      <w:r w:rsidR="00743C12">
        <w:t xml:space="preserve"> EasySave custom lighting worksheet </w:t>
      </w:r>
      <w:r w:rsidR="00F725FB">
        <w:t>(available upon request)</w:t>
      </w:r>
    </w:p>
    <w:p w14:paraId="40718D4B" w14:textId="77777777" w:rsidR="00743C12" w:rsidRDefault="00743C12" w:rsidP="003E5D9D">
      <w:pPr>
        <w:pStyle w:val="Default"/>
        <w:ind w:left="720"/>
      </w:pPr>
    </w:p>
    <w:p w14:paraId="5F4653E8" w14:textId="39395B79" w:rsidR="00743C12" w:rsidRDefault="00FD6B4F" w:rsidP="003E5D9D">
      <w:pPr>
        <w:pStyle w:val="Default"/>
        <w:numPr>
          <w:ilvl w:val="0"/>
          <w:numId w:val="21"/>
        </w:numPr>
      </w:pPr>
      <w:r>
        <w:t xml:space="preserve">Specification </w:t>
      </w:r>
      <w:r w:rsidR="000A370F">
        <w:t>sheets and</w:t>
      </w:r>
      <w:r w:rsidR="00743C12">
        <w:t xml:space="preserve"> room count</w:t>
      </w:r>
      <w:r>
        <w:t>s</w:t>
      </w:r>
      <w:r w:rsidR="00743C12">
        <w:t xml:space="preserve"> for the applicable measures in the </w:t>
      </w:r>
      <w:r w:rsidR="003E5D9D">
        <w:t xml:space="preserve">custom lighting measures </w:t>
      </w:r>
      <w:r w:rsidR="00743C12">
        <w:t>submission</w:t>
      </w:r>
    </w:p>
    <w:p w14:paraId="280DC712" w14:textId="77777777" w:rsidR="00743C12" w:rsidRDefault="00743C12" w:rsidP="000E3413">
      <w:pPr>
        <w:pStyle w:val="Default"/>
      </w:pPr>
    </w:p>
    <w:p w14:paraId="339AC492" w14:textId="198ED399" w:rsidR="000E3413" w:rsidRDefault="00F772B4" w:rsidP="000E3413">
      <w:pPr>
        <w:pStyle w:val="Default"/>
      </w:pPr>
      <w:r w:rsidRPr="00F772B4">
        <w:t xml:space="preserve">The EasySave proposal for prescriptive measures and the custom lighting application must be submitted </w:t>
      </w:r>
      <w:r w:rsidR="00FD6B4F">
        <w:t xml:space="preserve">together </w:t>
      </w:r>
      <w:r w:rsidRPr="00F772B4">
        <w:t>for approval. If the EasySave custom measure application is a stand</w:t>
      </w:r>
      <w:r w:rsidR="00FD6B4F">
        <w:t>-</w:t>
      </w:r>
      <w:r w:rsidRPr="00F772B4">
        <w:t xml:space="preserve">alone project, please </w:t>
      </w:r>
      <w:r w:rsidR="00FD6B4F">
        <w:t>note</w:t>
      </w:r>
      <w:r w:rsidR="00FD6B4F" w:rsidRPr="00F772B4">
        <w:t xml:space="preserve"> </w:t>
      </w:r>
      <w:r w:rsidRPr="00F772B4">
        <w:t xml:space="preserve">this with your submission. Additional documentation may be requested. </w:t>
      </w:r>
      <w:r w:rsidRPr="00DA2957">
        <w:rPr>
          <w:b/>
        </w:rPr>
        <w:t>The custom lighting measures will be reviewed, tracked and paid separately.</w:t>
      </w:r>
    </w:p>
    <w:p w14:paraId="5373F65F" w14:textId="77777777" w:rsidR="00F772B4" w:rsidRDefault="00F772B4" w:rsidP="000E3413">
      <w:pPr>
        <w:pStyle w:val="Default"/>
      </w:pPr>
    </w:p>
    <w:p w14:paraId="22BF727B" w14:textId="7F2462FD" w:rsidR="000E3413" w:rsidRDefault="000E3413" w:rsidP="000E3413">
      <w:pPr>
        <w:pStyle w:val="Default"/>
      </w:pPr>
      <w:r>
        <w:t xml:space="preserve">Measures that are </w:t>
      </w:r>
      <w:r w:rsidR="00ED5284">
        <w:t>available</w:t>
      </w:r>
      <w:r w:rsidR="006320D4">
        <w:t xml:space="preserve"> as</w:t>
      </w:r>
      <w:r w:rsidR="008067E3">
        <w:t xml:space="preserve"> EasySave</w:t>
      </w:r>
      <w:r>
        <w:t xml:space="preserve"> prescriptive </w:t>
      </w:r>
      <w:r w:rsidR="00F772B4">
        <w:t xml:space="preserve">measures </w:t>
      </w:r>
      <w:r>
        <w:t xml:space="preserve">may not be included on the custom lighting worksheet. </w:t>
      </w:r>
      <w:r w:rsidR="002C4C05">
        <w:t>If</w:t>
      </w:r>
      <w:r>
        <w:t xml:space="preserve"> it is determined that the</w:t>
      </w:r>
      <w:r w:rsidR="008067E3">
        <w:t xml:space="preserve"> </w:t>
      </w:r>
      <w:r>
        <w:t xml:space="preserve">measures </w:t>
      </w:r>
      <w:r w:rsidR="006E38DB">
        <w:t>submitted as</w:t>
      </w:r>
      <w:r w:rsidR="002C4C05">
        <w:t xml:space="preserve"> custom </w:t>
      </w:r>
      <w:r>
        <w:t xml:space="preserve">are </w:t>
      </w:r>
      <w:r w:rsidR="002C4C05">
        <w:t xml:space="preserve">available as </w:t>
      </w:r>
      <w:r w:rsidR="008067E3">
        <w:t>prescriptive,</w:t>
      </w:r>
      <w:r w:rsidR="00885AE8">
        <w:t xml:space="preserve"> </w:t>
      </w:r>
      <w:r w:rsidR="008067E3">
        <w:t xml:space="preserve">the proposal will be </w:t>
      </w:r>
      <w:r w:rsidR="002C4C05">
        <w:t xml:space="preserve">modified or </w:t>
      </w:r>
      <w:r w:rsidR="008067E3">
        <w:t>cancelled</w:t>
      </w:r>
      <w:r w:rsidR="002C4C05">
        <w:t>; if cancelled, they</w:t>
      </w:r>
      <w:r w:rsidR="008067E3">
        <w:t xml:space="preserve"> </w:t>
      </w:r>
      <w:r w:rsidR="002C4C05">
        <w:t xml:space="preserve">may </w:t>
      </w:r>
      <w:r w:rsidR="008067E3">
        <w:t xml:space="preserve">be re-submitted </w:t>
      </w:r>
      <w:r w:rsidR="002C4C05">
        <w:t xml:space="preserve">with corrections </w:t>
      </w:r>
      <w:r w:rsidR="008067E3">
        <w:t>per program rules</w:t>
      </w:r>
      <w:r>
        <w:t xml:space="preserve">. </w:t>
      </w:r>
      <w:r w:rsidR="00415B59" w:rsidRPr="00CA2715">
        <w:rPr>
          <w:rFonts w:asciiTheme="minorHAnsi" w:hAnsiTheme="minorHAnsi" w:cstheme="minorHAnsi"/>
        </w:rPr>
        <w:t xml:space="preserve">TEP maintains sole discretion in determining when and if to employ custom rebates when prescriptive measures are installed as part of the same project.  </w:t>
      </w:r>
    </w:p>
    <w:p w14:paraId="2597959A" w14:textId="77777777" w:rsidR="002A122F" w:rsidRDefault="002A122F" w:rsidP="000E3413">
      <w:pPr>
        <w:pStyle w:val="Default"/>
      </w:pPr>
    </w:p>
    <w:p w14:paraId="43530245" w14:textId="0633A5D0" w:rsidR="002A122F" w:rsidRDefault="00FD6B4F" w:rsidP="000E3413">
      <w:pPr>
        <w:pStyle w:val="Default"/>
      </w:pPr>
      <w:r>
        <w:t>Upon installation</w:t>
      </w:r>
      <w:r w:rsidR="002A122F">
        <w:t>, the Trade Ally must submit the</w:t>
      </w:r>
      <w:r w:rsidR="008067E3">
        <w:t xml:space="preserve"> EasySave</w:t>
      </w:r>
      <w:r w:rsidR="002A122F">
        <w:t xml:space="preserve"> Project Completion Form </w:t>
      </w:r>
      <w:r w:rsidR="008067E3">
        <w:t xml:space="preserve">for the prescriptive measures </w:t>
      </w:r>
      <w:r>
        <w:t xml:space="preserve">along with </w:t>
      </w:r>
      <w:r w:rsidR="008067E3">
        <w:t>a final application for the custom measures including a final invoice. If there were any changes during the installat</w:t>
      </w:r>
      <w:r w:rsidR="00DA2957">
        <w:t xml:space="preserve">ion, all changes should be </w:t>
      </w:r>
      <w:r w:rsidR="006E38DB">
        <w:t>noted</w:t>
      </w:r>
      <w:r w:rsidR="008067E3">
        <w:t xml:space="preserve"> and updated documentation submitted where appropriate. </w:t>
      </w:r>
    </w:p>
    <w:p w14:paraId="628AFC49" w14:textId="77777777" w:rsidR="008067E3" w:rsidRDefault="008067E3" w:rsidP="00DA2957">
      <w:pPr>
        <w:pStyle w:val="Default"/>
      </w:pPr>
    </w:p>
    <w:p w14:paraId="08FD79F4" w14:textId="5B124B13" w:rsidR="00FD6B4F" w:rsidRDefault="000E3413" w:rsidP="00DA2957">
      <w:pPr>
        <w:pStyle w:val="Default"/>
      </w:pPr>
      <w:r>
        <w:t>Custom rebates are calculated using $0.</w:t>
      </w:r>
      <w:r w:rsidR="006E38DB">
        <w:t xml:space="preserve">06 </w:t>
      </w:r>
      <w:r>
        <w:t xml:space="preserve">per estimated first year </w:t>
      </w:r>
      <w:r w:rsidR="00FD6B4F">
        <w:t xml:space="preserve">kWh </w:t>
      </w:r>
      <w:r>
        <w:t>hour saved. Actual rebate payments are based on either (1) documented electrical energy kWh</w:t>
      </w:r>
      <w:r w:rsidR="00FD6B4F">
        <w:t xml:space="preserve"> </w:t>
      </w:r>
      <w:r>
        <w:t xml:space="preserve">reduction or (2) an electrical energy reduction estimate approved by DNV. </w:t>
      </w:r>
    </w:p>
    <w:p w14:paraId="7F3C3BA9" w14:textId="77777777" w:rsidR="00FD6B4F" w:rsidRDefault="00FD6B4F" w:rsidP="00DA2957">
      <w:pPr>
        <w:pStyle w:val="Default"/>
      </w:pPr>
    </w:p>
    <w:p w14:paraId="44C9C12C" w14:textId="342146E0" w:rsidR="000E3413" w:rsidRDefault="000E3413" w:rsidP="00DA2957">
      <w:pPr>
        <w:pStyle w:val="Default"/>
      </w:pPr>
      <w:r>
        <w:t xml:space="preserve">Under no circumstances will the rebate payment exceed </w:t>
      </w:r>
      <w:r w:rsidR="006E38DB">
        <w:t xml:space="preserve">50 </w:t>
      </w:r>
      <w:r>
        <w:t>percent of the energy</w:t>
      </w:r>
      <w:r w:rsidR="00FD6B4F">
        <w:t xml:space="preserve"> </w:t>
      </w:r>
      <w:r w:rsidR="004F5077">
        <w:t>efficiency-related total cost of the approved proposal</w:t>
      </w:r>
      <w:r>
        <w:t>.</w:t>
      </w:r>
      <w:r w:rsidR="00097232">
        <w:t xml:space="preserve"> </w:t>
      </w:r>
      <w:r w:rsidR="00DE6640">
        <w:t xml:space="preserve">The custom measure </w:t>
      </w:r>
      <w:r w:rsidR="00A23D12">
        <w:t>application</w:t>
      </w:r>
      <w:r w:rsidR="00434147">
        <w:t xml:space="preserve"> incentives</w:t>
      </w:r>
      <w:r w:rsidR="00DE6640">
        <w:t xml:space="preserve"> will be calculated separatel</w:t>
      </w:r>
      <w:r w:rsidR="00434147">
        <w:t xml:space="preserve">y from the prescriptive proposal and will follow the program requirements established in the EasySave Plus program policies and procedures regarding incentive caps. </w:t>
      </w:r>
      <w:r w:rsidR="00DE6640">
        <w:t xml:space="preserve"> </w:t>
      </w:r>
    </w:p>
    <w:p w14:paraId="0B049BB7" w14:textId="77777777" w:rsidR="000E3413" w:rsidRPr="00DA2957" w:rsidRDefault="000E3413" w:rsidP="00DA2957">
      <w:pPr>
        <w:pStyle w:val="Default"/>
      </w:pPr>
    </w:p>
    <w:p w14:paraId="4AD67014" w14:textId="77777777" w:rsidR="005569C9" w:rsidRPr="00052A8A" w:rsidRDefault="00097232" w:rsidP="00052A8A">
      <w:pPr>
        <w:pStyle w:val="Default"/>
        <w:outlineLvl w:val="0"/>
        <w:rPr>
          <w:b/>
          <w:sz w:val="28"/>
          <w:szCs w:val="28"/>
        </w:rPr>
      </w:pPr>
      <w:bookmarkStart w:id="18" w:name="_Toc95915125"/>
      <w:r w:rsidRPr="00052A8A">
        <w:rPr>
          <w:b/>
          <w:sz w:val="28"/>
          <w:szCs w:val="28"/>
        </w:rPr>
        <w:t>1</w:t>
      </w:r>
      <w:r>
        <w:rPr>
          <w:b/>
          <w:sz w:val="28"/>
          <w:szCs w:val="28"/>
        </w:rPr>
        <w:t>2</w:t>
      </w:r>
      <w:r w:rsidR="005569C9" w:rsidRPr="00052A8A">
        <w:rPr>
          <w:b/>
          <w:sz w:val="28"/>
          <w:szCs w:val="28"/>
        </w:rPr>
        <w:t>.</w:t>
      </w:r>
      <w:r w:rsidR="005569C9" w:rsidRPr="00052A8A">
        <w:rPr>
          <w:b/>
          <w:sz w:val="28"/>
          <w:szCs w:val="28"/>
        </w:rPr>
        <w:tab/>
        <w:t>Commitment to Rebate Funds</w:t>
      </w:r>
      <w:bookmarkEnd w:id="18"/>
    </w:p>
    <w:p w14:paraId="1F969CBD" w14:textId="77777777" w:rsidR="005569C9" w:rsidRDefault="005569C9" w:rsidP="001C719C">
      <w:pPr>
        <w:pStyle w:val="Default"/>
        <w:jc w:val="both"/>
        <w:rPr>
          <w:sz w:val="28"/>
          <w:szCs w:val="28"/>
        </w:rPr>
      </w:pPr>
    </w:p>
    <w:p w14:paraId="7007C098" w14:textId="67D70512" w:rsidR="005569C9" w:rsidRPr="002773CE" w:rsidRDefault="005569C9" w:rsidP="001C719C">
      <w:pPr>
        <w:pStyle w:val="Default"/>
        <w:jc w:val="both"/>
      </w:pPr>
      <w:r w:rsidRPr="006D38A0">
        <w:rPr>
          <w:i/>
        </w:rPr>
        <w:t>Requests for rebates are processed on a first-come, first</w:t>
      </w:r>
      <w:r w:rsidR="00BF7E08">
        <w:rPr>
          <w:i/>
        </w:rPr>
        <w:t>-</w:t>
      </w:r>
      <w:r w:rsidRPr="006D38A0">
        <w:rPr>
          <w:i/>
        </w:rPr>
        <w:t>served basis until program funding is depleted</w:t>
      </w:r>
      <w:r w:rsidR="00BF7E08">
        <w:rPr>
          <w:i/>
        </w:rPr>
        <w:t xml:space="preserve"> and, </w:t>
      </w:r>
      <w:r>
        <w:rPr>
          <w:i/>
        </w:rPr>
        <w:t>therefore, incentive funds are not guaranteed</w:t>
      </w:r>
      <w:r w:rsidRPr="006D38A0">
        <w:rPr>
          <w:i/>
        </w:rPr>
        <w:t>.</w:t>
      </w:r>
      <w:r w:rsidRPr="002773CE">
        <w:t xml:space="preserve"> The allocation of program-approved funding </w:t>
      </w:r>
      <w:r w:rsidR="00BF7E08">
        <w:t>is</w:t>
      </w:r>
      <w:r w:rsidRPr="002773CE">
        <w:t xml:space="preserve"> determined by TEP.</w:t>
      </w:r>
      <w:r w:rsidR="00484B46">
        <w:t xml:space="preserve"> Original signatures</w:t>
      </w:r>
      <w:r w:rsidRPr="002773CE">
        <w:t xml:space="preserve"> from the customer</w:t>
      </w:r>
      <w:r>
        <w:t xml:space="preserve">, </w:t>
      </w:r>
      <w:r w:rsidRPr="002773CE">
        <w:t>Trade Ally</w:t>
      </w:r>
      <w:r>
        <w:t xml:space="preserve"> and DNV</w:t>
      </w:r>
      <w:r w:rsidRPr="002773CE">
        <w:t xml:space="preserve"> </w:t>
      </w:r>
      <w:r w:rsidR="00484B46">
        <w:t xml:space="preserve">are </w:t>
      </w:r>
      <w:r w:rsidRPr="002773CE">
        <w:t xml:space="preserve">required on the </w:t>
      </w:r>
      <w:r w:rsidR="00BF7E08">
        <w:t>P</w:t>
      </w:r>
      <w:r w:rsidRPr="002773CE">
        <w:t xml:space="preserve">articipation </w:t>
      </w:r>
      <w:r w:rsidR="00BF7E08">
        <w:t>A</w:t>
      </w:r>
      <w:r w:rsidRPr="002773CE">
        <w:t xml:space="preserve">greement before </w:t>
      </w:r>
      <w:r w:rsidR="00484B46">
        <w:t xml:space="preserve">incentive </w:t>
      </w:r>
      <w:r w:rsidRPr="002773CE">
        <w:t xml:space="preserve">funds </w:t>
      </w:r>
      <w:r w:rsidR="00BF7E08">
        <w:t xml:space="preserve">will </w:t>
      </w:r>
      <w:r w:rsidR="00484B46">
        <w:t>processed for payment</w:t>
      </w:r>
      <w:r w:rsidRPr="002773CE">
        <w:t xml:space="preserve">. </w:t>
      </w:r>
    </w:p>
    <w:p w14:paraId="7474816D" w14:textId="77777777" w:rsidR="005569C9" w:rsidRPr="002773CE" w:rsidRDefault="005569C9" w:rsidP="001C719C">
      <w:pPr>
        <w:pStyle w:val="Default"/>
        <w:jc w:val="both"/>
      </w:pPr>
    </w:p>
    <w:p w14:paraId="34961654" w14:textId="77777777" w:rsidR="005569C9" w:rsidRPr="002773CE" w:rsidRDefault="005569C9" w:rsidP="001C719C">
      <w:pPr>
        <w:pStyle w:val="Default"/>
        <w:jc w:val="both"/>
      </w:pPr>
      <w:r w:rsidRPr="002773CE">
        <w:lastRenderedPageBreak/>
        <w:t xml:space="preserve">Funds that have been approved are not transferable to other projects and/or customers. </w:t>
      </w:r>
      <w:r w:rsidRPr="0083435E">
        <w:t xml:space="preserve">It is the </w:t>
      </w:r>
      <w:r>
        <w:t>Trade Ally</w:t>
      </w:r>
      <w:r w:rsidRPr="0083435E">
        <w:t>’s responsibility to contact program staff if a project is delayed</w:t>
      </w:r>
      <w:r w:rsidR="00484B46">
        <w:t xml:space="preserve"> or cancelled or</w:t>
      </w:r>
      <w:r w:rsidRPr="0083435E">
        <w:t xml:space="preserve"> </w:t>
      </w:r>
      <w:r w:rsidR="00BC1EB7">
        <w:t xml:space="preserve">incentives </w:t>
      </w:r>
      <w:r w:rsidR="00484B46">
        <w:t xml:space="preserve">are </w:t>
      </w:r>
      <w:r w:rsidR="00BC1EB7">
        <w:t>increased</w:t>
      </w:r>
      <w:r w:rsidRPr="0083435E">
        <w:t>.</w:t>
      </w:r>
    </w:p>
    <w:p w14:paraId="7CE3655C" w14:textId="77777777" w:rsidR="005569C9" w:rsidRDefault="005569C9" w:rsidP="001C719C">
      <w:pPr>
        <w:pStyle w:val="Default"/>
        <w:jc w:val="both"/>
        <w:rPr>
          <w:sz w:val="28"/>
          <w:szCs w:val="28"/>
        </w:rPr>
      </w:pPr>
    </w:p>
    <w:p w14:paraId="3AB47A40" w14:textId="77777777" w:rsidR="005569C9" w:rsidRPr="00052A8A" w:rsidRDefault="00097232" w:rsidP="00052A8A">
      <w:pPr>
        <w:pStyle w:val="Default"/>
        <w:outlineLvl w:val="0"/>
        <w:rPr>
          <w:b/>
          <w:sz w:val="28"/>
          <w:szCs w:val="28"/>
        </w:rPr>
      </w:pPr>
      <w:bookmarkStart w:id="19" w:name="_Toc95915126"/>
      <w:r>
        <w:rPr>
          <w:b/>
          <w:sz w:val="28"/>
          <w:szCs w:val="28"/>
        </w:rPr>
        <w:t>13</w:t>
      </w:r>
      <w:r w:rsidR="005569C9" w:rsidRPr="00052A8A">
        <w:rPr>
          <w:b/>
          <w:sz w:val="28"/>
          <w:szCs w:val="28"/>
        </w:rPr>
        <w:t>.</w:t>
      </w:r>
      <w:r w:rsidR="005569C9" w:rsidRPr="00052A8A">
        <w:rPr>
          <w:b/>
          <w:sz w:val="28"/>
          <w:szCs w:val="28"/>
        </w:rPr>
        <w:tab/>
        <w:t>Customer Co-Pay</w:t>
      </w:r>
      <w:bookmarkEnd w:id="19"/>
    </w:p>
    <w:p w14:paraId="38C2BE98" w14:textId="77777777" w:rsidR="005569C9" w:rsidRDefault="005569C9" w:rsidP="001C719C">
      <w:pPr>
        <w:pStyle w:val="Default"/>
        <w:jc w:val="both"/>
        <w:rPr>
          <w:sz w:val="28"/>
          <w:szCs w:val="28"/>
        </w:rPr>
      </w:pPr>
    </w:p>
    <w:p w14:paraId="2216A2CA" w14:textId="3EEA7654" w:rsidR="00484B46" w:rsidRDefault="005569C9" w:rsidP="001C719C">
      <w:pPr>
        <w:pStyle w:val="Default"/>
        <w:jc w:val="both"/>
      </w:pPr>
      <w:r>
        <w:t>The Trade Ally</w:t>
      </w:r>
      <w:r w:rsidRPr="00C918B2">
        <w:t xml:space="preserve"> shall disclose any customer co-payment obligations in writing to participating customers. </w:t>
      </w:r>
      <w:r>
        <w:t>The Trade Ally</w:t>
      </w:r>
      <w:r w:rsidRPr="00C918B2">
        <w:t xml:space="preserve"> is solely responsible for collecting payments not covered by the </w:t>
      </w:r>
      <w:r w:rsidR="00125DB9">
        <w:t xml:space="preserve">EasySave </w:t>
      </w:r>
      <w:r w:rsidRPr="00C918B2">
        <w:t>rebate payment from the participating business. DNV</w:t>
      </w:r>
      <w:r w:rsidR="00303E85">
        <w:t xml:space="preserve"> </w:t>
      </w:r>
      <w:r w:rsidRPr="00C918B2">
        <w:t xml:space="preserve">and TEP have no obligation to compensate </w:t>
      </w:r>
      <w:r>
        <w:t>the Trade Ally</w:t>
      </w:r>
      <w:r w:rsidRPr="00C918B2">
        <w:t xml:space="preserve"> for nonpayment by the participating customer. </w:t>
      </w:r>
      <w:r>
        <w:t>The Trade Ally</w:t>
      </w:r>
      <w:r w:rsidRPr="00C918B2">
        <w:t xml:space="preserve"> has the right </w:t>
      </w:r>
      <w:r w:rsidR="00484B46">
        <w:t>to refuse to</w:t>
      </w:r>
      <w:r w:rsidRPr="00C918B2">
        <w:t xml:space="preserve"> perform the installation if </w:t>
      </w:r>
      <w:r w:rsidR="00484B46">
        <w:t>there are</w:t>
      </w:r>
      <w:r w:rsidRPr="00C918B2">
        <w:t xml:space="preserve"> concerns about the </w:t>
      </w:r>
      <w:r w:rsidR="00484B46">
        <w:t xml:space="preserve">customer’s </w:t>
      </w:r>
      <w:r w:rsidRPr="00C918B2">
        <w:t xml:space="preserve">creditworthiness.  </w:t>
      </w:r>
    </w:p>
    <w:p w14:paraId="596FE37E" w14:textId="77777777" w:rsidR="00484B46" w:rsidRDefault="00484B46" w:rsidP="001C719C">
      <w:pPr>
        <w:pStyle w:val="Default"/>
        <w:jc w:val="both"/>
      </w:pPr>
    </w:p>
    <w:p w14:paraId="347736E2" w14:textId="77777777" w:rsidR="005569C9" w:rsidRDefault="005569C9" w:rsidP="001C719C">
      <w:pPr>
        <w:pStyle w:val="Default"/>
        <w:jc w:val="both"/>
        <w:rPr>
          <w:sz w:val="28"/>
          <w:szCs w:val="28"/>
        </w:rPr>
      </w:pPr>
      <w:r>
        <w:t>The Trade Ally</w:t>
      </w:r>
      <w:r w:rsidRPr="00C918B2">
        <w:t xml:space="preserve"> and the participating customer may also establish their own mutually agreeable payment terms if the standard payment terms of the program (full payment upon completion of work) are not satisfactory. In no case</w:t>
      </w:r>
      <w:r w:rsidR="00484B46">
        <w:t xml:space="preserve"> may</w:t>
      </w:r>
      <w:r w:rsidRPr="00C918B2">
        <w:t xml:space="preserve"> the </w:t>
      </w:r>
      <w:r>
        <w:t>Trade Ally</w:t>
      </w:r>
      <w:r w:rsidRPr="00C918B2">
        <w:t xml:space="preserve"> charge the customer a co-payment that is higher than the co-payment amount specified in the </w:t>
      </w:r>
      <w:r w:rsidR="00484B46">
        <w:t>P</w:t>
      </w:r>
      <w:r w:rsidRPr="00C918B2">
        <w:t xml:space="preserve">ayment </w:t>
      </w:r>
      <w:r w:rsidR="00484B46">
        <w:t>N</w:t>
      </w:r>
      <w:r w:rsidRPr="00C918B2">
        <w:t xml:space="preserve">otification </w:t>
      </w:r>
      <w:r w:rsidR="00484B46">
        <w:t>F</w:t>
      </w:r>
      <w:r w:rsidRPr="00C918B2">
        <w:t>orm for services specified on that form.</w:t>
      </w:r>
    </w:p>
    <w:p w14:paraId="5C815B56" w14:textId="77777777" w:rsidR="005569C9" w:rsidRDefault="005569C9" w:rsidP="001C719C">
      <w:pPr>
        <w:pStyle w:val="Default"/>
        <w:jc w:val="both"/>
        <w:rPr>
          <w:sz w:val="28"/>
          <w:szCs w:val="28"/>
        </w:rPr>
      </w:pPr>
    </w:p>
    <w:p w14:paraId="6999C6E9" w14:textId="77777777" w:rsidR="005569C9" w:rsidRPr="00052A8A" w:rsidRDefault="00097232" w:rsidP="00052A8A">
      <w:pPr>
        <w:pStyle w:val="Default"/>
        <w:outlineLvl w:val="0"/>
        <w:rPr>
          <w:b/>
          <w:sz w:val="28"/>
          <w:szCs w:val="28"/>
        </w:rPr>
      </w:pPr>
      <w:bookmarkStart w:id="20" w:name="_Toc95915127"/>
      <w:r>
        <w:rPr>
          <w:b/>
          <w:sz w:val="28"/>
          <w:szCs w:val="28"/>
        </w:rPr>
        <w:t>14</w:t>
      </w:r>
      <w:r w:rsidR="005569C9" w:rsidRPr="00052A8A">
        <w:rPr>
          <w:b/>
          <w:sz w:val="28"/>
          <w:szCs w:val="28"/>
        </w:rPr>
        <w:t>.</w:t>
      </w:r>
      <w:r w:rsidR="005569C9" w:rsidRPr="00052A8A">
        <w:rPr>
          <w:b/>
          <w:sz w:val="28"/>
          <w:szCs w:val="28"/>
        </w:rPr>
        <w:tab/>
        <w:t>Dispute Resolution</w:t>
      </w:r>
      <w:bookmarkEnd w:id="20"/>
    </w:p>
    <w:p w14:paraId="4B70BC39" w14:textId="77777777" w:rsidR="005569C9" w:rsidRDefault="005569C9" w:rsidP="001C719C">
      <w:pPr>
        <w:pStyle w:val="Default"/>
        <w:jc w:val="both"/>
        <w:rPr>
          <w:sz w:val="28"/>
          <w:szCs w:val="28"/>
        </w:rPr>
      </w:pPr>
    </w:p>
    <w:p w14:paraId="3EF1BFE8" w14:textId="5D14B7C3" w:rsidR="005569C9" w:rsidRDefault="00495435" w:rsidP="001C719C">
      <w:pPr>
        <w:pStyle w:val="Default"/>
        <w:jc w:val="both"/>
      </w:pPr>
      <w:r>
        <w:t>TEP, DNV and our Trade Allies are committed to ensuring a high level of customer satisfaction with all aspects this program.</w:t>
      </w:r>
      <w:r w:rsidR="005569C9" w:rsidRPr="002773CE">
        <w:t xml:space="preserve"> </w:t>
      </w:r>
      <w:r w:rsidR="00484B46">
        <w:t>Should</w:t>
      </w:r>
      <w:r w:rsidR="005569C9" w:rsidRPr="002773CE">
        <w:t xml:space="preserve"> any problems or concerns arise, customers </w:t>
      </w:r>
      <w:r>
        <w:t xml:space="preserve">are asked </w:t>
      </w:r>
      <w:r w:rsidR="005569C9" w:rsidRPr="002773CE">
        <w:t xml:space="preserve">to contact </w:t>
      </w:r>
      <w:r w:rsidR="00303E85">
        <w:t>DNV</w:t>
      </w:r>
      <w:r w:rsidR="005569C9" w:rsidRPr="002773CE">
        <w:t xml:space="preserve"> immediately at 866-324-5506. If the concern or dispute </w:t>
      </w:r>
      <w:r>
        <w:t>is not</w:t>
      </w:r>
      <w:r w:rsidR="005569C9" w:rsidRPr="002773CE">
        <w:t xml:space="preserve"> resolved, the dispute will be forwarded to </w:t>
      </w:r>
      <w:r w:rsidR="00303E85">
        <w:t>DNV</w:t>
      </w:r>
      <w:r>
        <w:t>’s</w:t>
      </w:r>
      <w:r w:rsidR="005569C9" w:rsidRPr="002773CE">
        <w:t xml:space="preserve"> </w:t>
      </w:r>
      <w:r>
        <w:t>o</w:t>
      </w:r>
      <w:r w:rsidRPr="002773CE">
        <w:t xml:space="preserve">perations </w:t>
      </w:r>
      <w:r>
        <w:t>m</w:t>
      </w:r>
      <w:r w:rsidRPr="002773CE">
        <w:t>anager</w:t>
      </w:r>
      <w:r w:rsidR="005569C9" w:rsidRPr="002773CE">
        <w:t xml:space="preserve">. If the dispute still cannot be resolved, </w:t>
      </w:r>
      <w:r w:rsidR="00303E85">
        <w:t>DNV</w:t>
      </w:r>
      <w:r w:rsidR="005569C9" w:rsidRPr="002773CE">
        <w:t xml:space="preserve"> </w:t>
      </w:r>
      <w:r>
        <w:t xml:space="preserve">will escalate the case </w:t>
      </w:r>
      <w:r w:rsidR="005569C9" w:rsidRPr="002773CE">
        <w:t xml:space="preserve">to the TEP </w:t>
      </w:r>
      <w:r>
        <w:t>p</w:t>
      </w:r>
      <w:r w:rsidRPr="002773CE">
        <w:t xml:space="preserve">rogram </w:t>
      </w:r>
      <w:r>
        <w:t>m</w:t>
      </w:r>
      <w:r w:rsidRPr="002773CE">
        <w:t xml:space="preserve">anager </w:t>
      </w:r>
      <w:r w:rsidR="005569C9" w:rsidRPr="002773CE">
        <w:t xml:space="preserve">for assistance. </w:t>
      </w:r>
    </w:p>
    <w:p w14:paraId="5B5C0205" w14:textId="77777777" w:rsidR="005569C9" w:rsidRDefault="005569C9" w:rsidP="001C719C">
      <w:pPr>
        <w:pStyle w:val="Default"/>
        <w:jc w:val="both"/>
      </w:pPr>
    </w:p>
    <w:p w14:paraId="73C65261" w14:textId="77777777" w:rsidR="005569C9" w:rsidRPr="00052A8A" w:rsidRDefault="00097232" w:rsidP="00052A8A">
      <w:pPr>
        <w:pStyle w:val="Default"/>
        <w:outlineLvl w:val="0"/>
        <w:rPr>
          <w:b/>
          <w:sz w:val="28"/>
          <w:szCs w:val="28"/>
        </w:rPr>
      </w:pPr>
      <w:bookmarkStart w:id="21" w:name="_Toc95915128"/>
      <w:r>
        <w:rPr>
          <w:b/>
          <w:sz w:val="28"/>
          <w:szCs w:val="28"/>
        </w:rPr>
        <w:t>15</w:t>
      </w:r>
      <w:r w:rsidR="005569C9" w:rsidRPr="00052A8A">
        <w:rPr>
          <w:b/>
          <w:sz w:val="28"/>
          <w:szCs w:val="28"/>
        </w:rPr>
        <w:t>.</w:t>
      </w:r>
      <w:r w:rsidR="005569C9" w:rsidRPr="00052A8A">
        <w:rPr>
          <w:b/>
          <w:sz w:val="28"/>
          <w:szCs w:val="28"/>
        </w:rPr>
        <w:tab/>
        <w:t>Trade Ally Removal</w:t>
      </w:r>
      <w:bookmarkEnd w:id="21"/>
    </w:p>
    <w:p w14:paraId="1A5347E7" w14:textId="77777777" w:rsidR="005569C9" w:rsidRDefault="005569C9" w:rsidP="001C719C">
      <w:pPr>
        <w:pStyle w:val="Default"/>
        <w:jc w:val="both"/>
      </w:pPr>
    </w:p>
    <w:p w14:paraId="07FA3BB8" w14:textId="77777777" w:rsidR="00495435" w:rsidRDefault="005569C9" w:rsidP="001C719C">
      <w:pPr>
        <w:pStyle w:val="Default"/>
        <w:jc w:val="both"/>
      </w:pPr>
      <w:r w:rsidRPr="001C3BEF">
        <w:t xml:space="preserve">Contractors operating as a Trade Ally under the </w:t>
      </w:r>
      <w:r>
        <w:t xml:space="preserve">TEP Commercial Energy Solutions </w:t>
      </w:r>
      <w:r w:rsidR="009716D8">
        <w:t>p</w:t>
      </w:r>
      <w:r>
        <w:t xml:space="preserve">rogram </w:t>
      </w:r>
      <w:r w:rsidRPr="001C3BEF">
        <w:t xml:space="preserve">are required to follow program rules as outlined in the program policies and procedures and the Trade Ally </w:t>
      </w:r>
      <w:r w:rsidR="00495435">
        <w:t>A</w:t>
      </w:r>
      <w:r w:rsidRPr="001C3BEF">
        <w:t xml:space="preserve">greement. Trade </w:t>
      </w:r>
      <w:r w:rsidR="00495435">
        <w:t xml:space="preserve">Allies and contractors who fail to adhere to program rules or are suspected of fraudulent activity may be disqualified and ineligible for participation in the program at TEPs sole discretion. </w:t>
      </w:r>
    </w:p>
    <w:p w14:paraId="25D1AA4F" w14:textId="5C7588FA" w:rsidR="005569C9" w:rsidRDefault="00495435" w:rsidP="001C719C">
      <w:pPr>
        <w:pStyle w:val="Default"/>
        <w:jc w:val="both"/>
      </w:pPr>
      <w:r>
        <w:t xml:space="preserve"> </w:t>
      </w:r>
    </w:p>
    <w:p w14:paraId="2414D2BD" w14:textId="4DE5500F" w:rsidR="00C3519F" w:rsidRDefault="00C3519F" w:rsidP="001C719C">
      <w:pPr>
        <w:pStyle w:val="Default"/>
        <w:jc w:val="both"/>
      </w:pPr>
    </w:p>
    <w:p w14:paraId="713D4083" w14:textId="55E0E576" w:rsidR="00C3519F" w:rsidRDefault="00C3519F" w:rsidP="001C719C">
      <w:pPr>
        <w:pStyle w:val="Default"/>
        <w:jc w:val="both"/>
      </w:pPr>
    </w:p>
    <w:p w14:paraId="2FCFD415" w14:textId="5307F8E7" w:rsidR="00C3519F" w:rsidRDefault="00C3519F" w:rsidP="001C719C">
      <w:pPr>
        <w:pStyle w:val="Default"/>
        <w:jc w:val="both"/>
      </w:pPr>
    </w:p>
    <w:p w14:paraId="73E4967F" w14:textId="77777777" w:rsidR="00C3519F" w:rsidRPr="002773CE" w:rsidRDefault="00C3519F" w:rsidP="001C719C">
      <w:pPr>
        <w:pStyle w:val="Default"/>
        <w:jc w:val="both"/>
      </w:pPr>
    </w:p>
    <w:p w14:paraId="777F4F78" w14:textId="77777777" w:rsidR="005569C9" w:rsidRDefault="005569C9" w:rsidP="001C719C">
      <w:pPr>
        <w:pStyle w:val="Default"/>
        <w:jc w:val="both"/>
        <w:rPr>
          <w:sz w:val="28"/>
          <w:szCs w:val="28"/>
        </w:rPr>
      </w:pPr>
    </w:p>
    <w:p w14:paraId="6A18A654" w14:textId="77777777" w:rsidR="005569C9" w:rsidRPr="00052A8A" w:rsidRDefault="00097232" w:rsidP="00052A8A">
      <w:pPr>
        <w:pStyle w:val="Default"/>
        <w:outlineLvl w:val="0"/>
        <w:rPr>
          <w:b/>
          <w:sz w:val="28"/>
          <w:szCs w:val="28"/>
        </w:rPr>
      </w:pPr>
      <w:bookmarkStart w:id="22" w:name="_Toc95915129"/>
      <w:r>
        <w:rPr>
          <w:b/>
          <w:sz w:val="28"/>
          <w:szCs w:val="28"/>
        </w:rPr>
        <w:lastRenderedPageBreak/>
        <w:t>16</w:t>
      </w:r>
      <w:r w:rsidR="005569C9" w:rsidRPr="00052A8A">
        <w:rPr>
          <w:b/>
          <w:sz w:val="28"/>
          <w:szCs w:val="28"/>
        </w:rPr>
        <w:t>.</w:t>
      </w:r>
      <w:r w:rsidR="005569C9" w:rsidRPr="00052A8A">
        <w:rPr>
          <w:b/>
          <w:sz w:val="28"/>
          <w:szCs w:val="28"/>
        </w:rPr>
        <w:tab/>
        <w:t>1099 Filing and Reporting</w:t>
      </w:r>
      <w:bookmarkEnd w:id="22"/>
    </w:p>
    <w:p w14:paraId="4EB1C88B" w14:textId="77777777" w:rsidR="005569C9" w:rsidRPr="00052A8A" w:rsidRDefault="005569C9" w:rsidP="001C719C">
      <w:pPr>
        <w:pStyle w:val="Default"/>
        <w:jc w:val="both"/>
        <w:rPr>
          <w:b/>
          <w:sz w:val="28"/>
          <w:szCs w:val="28"/>
        </w:rPr>
      </w:pPr>
    </w:p>
    <w:p w14:paraId="15676925" w14:textId="77777777" w:rsidR="005569C9" w:rsidRPr="002773CE" w:rsidRDefault="00495435" w:rsidP="001C719C">
      <w:pPr>
        <w:pStyle w:val="Default"/>
        <w:jc w:val="both"/>
      </w:pPr>
      <w:bookmarkStart w:id="23" w:name="_Hlk73087079"/>
      <w:r>
        <w:t xml:space="preserve">The incentive rebates offered through the EasySave </w:t>
      </w:r>
      <w:r w:rsidR="009716D8">
        <w:t>p</w:t>
      </w:r>
      <w:r>
        <w:t>rogram</w:t>
      </w:r>
      <w:r w:rsidR="005569C9" w:rsidRPr="002773CE">
        <w:t xml:space="preserve"> will have tax implications for contractors </w:t>
      </w:r>
      <w:r>
        <w:t>and possibly</w:t>
      </w:r>
      <w:r w:rsidR="005569C9" w:rsidRPr="002773CE">
        <w:t xml:space="preserve"> participating customers. Participating customers are encouraged to consult </w:t>
      </w:r>
      <w:r>
        <w:t>their</w:t>
      </w:r>
      <w:r w:rsidRPr="002773CE">
        <w:t xml:space="preserve"> </w:t>
      </w:r>
      <w:r w:rsidR="005569C9" w:rsidRPr="002773CE">
        <w:t xml:space="preserve">tax professional. </w:t>
      </w:r>
    </w:p>
    <w:bookmarkEnd w:id="23"/>
    <w:p w14:paraId="3B397274" w14:textId="77777777" w:rsidR="005569C9" w:rsidRDefault="005569C9" w:rsidP="001C719C">
      <w:pPr>
        <w:pStyle w:val="Default"/>
        <w:jc w:val="both"/>
        <w:rPr>
          <w:sz w:val="28"/>
          <w:szCs w:val="28"/>
        </w:rPr>
      </w:pPr>
    </w:p>
    <w:p w14:paraId="25E8A6F5" w14:textId="77777777" w:rsidR="005569C9" w:rsidRPr="00052A8A" w:rsidRDefault="00097232" w:rsidP="00052A8A">
      <w:pPr>
        <w:pStyle w:val="Default"/>
        <w:outlineLvl w:val="0"/>
        <w:rPr>
          <w:b/>
          <w:sz w:val="28"/>
          <w:szCs w:val="28"/>
        </w:rPr>
      </w:pPr>
      <w:bookmarkStart w:id="24" w:name="_Toc95915130"/>
      <w:r>
        <w:rPr>
          <w:b/>
          <w:sz w:val="28"/>
          <w:szCs w:val="28"/>
        </w:rPr>
        <w:t>17</w:t>
      </w:r>
      <w:r w:rsidR="005569C9" w:rsidRPr="00052A8A">
        <w:rPr>
          <w:b/>
          <w:sz w:val="28"/>
          <w:szCs w:val="28"/>
        </w:rPr>
        <w:t>.</w:t>
      </w:r>
      <w:r w:rsidR="005569C9" w:rsidRPr="00052A8A">
        <w:rPr>
          <w:b/>
          <w:sz w:val="28"/>
          <w:szCs w:val="28"/>
        </w:rPr>
        <w:tab/>
        <w:t>Equipment Specifications and Installation Standards</w:t>
      </w:r>
      <w:bookmarkEnd w:id="24"/>
    </w:p>
    <w:p w14:paraId="6959BE2C" w14:textId="77777777" w:rsidR="005569C9" w:rsidRDefault="005569C9" w:rsidP="001C719C">
      <w:pPr>
        <w:pStyle w:val="Default"/>
        <w:jc w:val="both"/>
        <w:rPr>
          <w:sz w:val="28"/>
          <w:szCs w:val="28"/>
        </w:rPr>
      </w:pPr>
    </w:p>
    <w:p w14:paraId="6C9BD2E3" w14:textId="77777777" w:rsidR="00F725FB" w:rsidRPr="00F725FB" w:rsidRDefault="00F725FB" w:rsidP="00F725FB">
      <w:pPr>
        <w:pStyle w:val="Default"/>
      </w:pPr>
      <w:r w:rsidRPr="00F725FB">
        <w:t xml:space="preserve">Eligible measures are listed on the website </w:t>
      </w:r>
      <w:hyperlink r:id="rId21" w:history="1">
        <w:r w:rsidRPr="00F725FB">
          <w:rPr>
            <w:rStyle w:val="Hyperlink"/>
          </w:rPr>
          <w:t>www.tepcommercialenergysolutions.com</w:t>
        </w:r>
      </w:hyperlink>
      <w:r w:rsidRPr="00F725FB">
        <w:t xml:space="preserve"> and are subject to change.  Rebates cap at 50% of incremental measure cost.</w:t>
      </w:r>
    </w:p>
    <w:p w14:paraId="5A9CCE50" w14:textId="77777777" w:rsidR="00C3519F" w:rsidRPr="000210A3" w:rsidRDefault="00C3519F" w:rsidP="000210A3">
      <w:pPr>
        <w:pStyle w:val="Default"/>
        <w:spacing w:line="360" w:lineRule="auto"/>
        <w:jc w:val="both"/>
      </w:pPr>
    </w:p>
    <w:p w14:paraId="0FC8B2CD" w14:textId="77777777" w:rsidR="005569C9" w:rsidRPr="00052A8A" w:rsidRDefault="00097232" w:rsidP="00052A8A">
      <w:pPr>
        <w:pStyle w:val="Default"/>
        <w:outlineLvl w:val="0"/>
        <w:rPr>
          <w:b/>
          <w:sz w:val="28"/>
          <w:szCs w:val="28"/>
        </w:rPr>
      </w:pPr>
      <w:bookmarkStart w:id="25" w:name="_Toc95915131"/>
      <w:r>
        <w:rPr>
          <w:b/>
          <w:sz w:val="28"/>
          <w:szCs w:val="28"/>
        </w:rPr>
        <w:t>18</w:t>
      </w:r>
      <w:r w:rsidR="009D1FFC">
        <w:rPr>
          <w:b/>
          <w:sz w:val="28"/>
          <w:szCs w:val="28"/>
        </w:rPr>
        <w:t>.</w:t>
      </w:r>
      <w:r w:rsidR="005569C9" w:rsidRPr="00052A8A">
        <w:rPr>
          <w:b/>
          <w:sz w:val="28"/>
          <w:szCs w:val="28"/>
        </w:rPr>
        <w:tab/>
        <w:t>Warranties</w:t>
      </w:r>
      <w:bookmarkEnd w:id="25"/>
    </w:p>
    <w:p w14:paraId="21800F95" w14:textId="77777777" w:rsidR="005569C9" w:rsidRDefault="005569C9" w:rsidP="001C719C">
      <w:pPr>
        <w:pStyle w:val="Default"/>
        <w:jc w:val="both"/>
        <w:rPr>
          <w:sz w:val="28"/>
          <w:szCs w:val="28"/>
        </w:rPr>
      </w:pPr>
    </w:p>
    <w:p w14:paraId="48E287F1" w14:textId="77777777" w:rsidR="005569C9" w:rsidRPr="002773CE" w:rsidRDefault="005569C9" w:rsidP="001C719C">
      <w:pPr>
        <w:pStyle w:val="Default"/>
        <w:jc w:val="both"/>
      </w:pPr>
      <w:r w:rsidRPr="002773CE">
        <w:t xml:space="preserve">Participating </w:t>
      </w:r>
      <w:r w:rsidR="009D1FFC">
        <w:t>a</w:t>
      </w:r>
      <w:r w:rsidR="009D1FFC" w:rsidRPr="002773CE">
        <w:t>pp</w:t>
      </w:r>
      <w:r w:rsidR="009D1FFC" w:rsidRPr="00C96E3F">
        <w:t>r</w:t>
      </w:r>
      <w:r w:rsidR="009D1FFC" w:rsidRPr="002773CE">
        <w:t xml:space="preserve">oved </w:t>
      </w:r>
      <w:r w:rsidRPr="002773CE">
        <w:t>contractors will honor the following warranties:</w:t>
      </w:r>
    </w:p>
    <w:p w14:paraId="358606F6" w14:textId="77777777" w:rsidR="005569C9" w:rsidRPr="002773CE" w:rsidRDefault="005569C9" w:rsidP="001C719C">
      <w:pPr>
        <w:pStyle w:val="Default"/>
        <w:jc w:val="both"/>
      </w:pPr>
    </w:p>
    <w:p w14:paraId="71C5E01C" w14:textId="77777777" w:rsidR="005569C9" w:rsidRPr="002773CE" w:rsidRDefault="005569C9" w:rsidP="001C719C">
      <w:pPr>
        <w:pStyle w:val="Default"/>
        <w:spacing w:line="360" w:lineRule="auto"/>
        <w:ind w:left="720"/>
        <w:jc w:val="both"/>
      </w:pPr>
      <w:r w:rsidRPr="002773CE">
        <w:t xml:space="preserve">• 2 </w:t>
      </w:r>
      <w:r w:rsidR="00125DB9">
        <w:t>years on</w:t>
      </w:r>
      <w:r w:rsidRPr="002773CE">
        <w:t xml:space="preserve"> labor</w:t>
      </w:r>
    </w:p>
    <w:p w14:paraId="4F337CB8" w14:textId="77777777" w:rsidR="005569C9" w:rsidRPr="002773CE" w:rsidRDefault="005569C9" w:rsidP="001C719C">
      <w:pPr>
        <w:pStyle w:val="Default"/>
        <w:spacing w:line="360" w:lineRule="auto"/>
        <w:ind w:left="720"/>
        <w:jc w:val="both"/>
      </w:pPr>
      <w:r w:rsidRPr="002773CE">
        <w:t>• Manufacturer's warranty on equipment installed as follows:</w:t>
      </w:r>
    </w:p>
    <w:p w14:paraId="05448413" w14:textId="77777777" w:rsidR="005569C9" w:rsidRPr="002773CE" w:rsidRDefault="005569C9" w:rsidP="001C719C">
      <w:pPr>
        <w:pStyle w:val="Default"/>
        <w:spacing w:line="360" w:lineRule="auto"/>
        <w:ind w:left="1440"/>
        <w:jc w:val="both"/>
      </w:pPr>
      <w:r w:rsidRPr="002773CE">
        <w:t>- 1 year - Compact fluorescent lamps and adaptors</w:t>
      </w:r>
    </w:p>
    <w:p w14:paraId="308B8F97" w14:textId="77777777" w:rsidR="005569C9" w:rsidRPr="002773CE" w:rsidRDefault="005569C9" w:rsidP="001C719C">
      <w:pPr>
        <w:pStyle w:val="Default"/>
        <w:spacing w:line="360" w:lineRule="auto"/>
        <w:ind w:left="1440"/>
        <w:jc w:val="both"/>
      </w:pPr>
      <w:r w:rsidRPr="002773CE">
        <w:t>- 1 year - HVAC measures</w:t>
      </w:r>
    </w:p>
    <w:p w14:paraId="751060A7" w14:textId="77777777" w:rsidR="005569C9" w:rsidRPr="002773CE" w:rsidRDefault="005569C9" w:rsidP="001C719C">
      <w:pPr>
        <w:pStyle w:val="Default"/>
        <w:spacing w:line="360" w:lineRule="auto"/>
        <w:ind w:left="1440"/>
        <w:jc w:val="both"/>
      </w:pPr>
      <w:r w:rsidRPr="002773CE">
        <w:t>- 1 year - Occupancy sensors and photocells</w:t>
      </w:r>
    </w:p>
    <w:p w14:paraId="1058EDD8" w14:textId="77777777" w:rsidR="005569C9" w:rsidRPr="002773CE" w:rsidRDefault="005569C9" w:rsidP="001C719C">
      <w:pPr>
        <w:pStyle w:val="Default"/>
        <w:spacing w:line="360" w:lineRule="auto"/>
        <w:ind w:left="1440"/>
        <w:jc w:val="both"/>
      </w:pPr>
      <w:r w:rsidRPr="002773CE">
        <w:t>- 2 years - Refrigeration measures</w:t>
      </w:r>
    </w:p>
    <w:p w14:paraId="3EA91EA8" w14:textId="77777777" w:rsidR="005569C9" w:rsidRPr="002773CE" w:rsidRDefault="005569C9" w:rsidP="001C719C">
      <w:pPr>
        <w:pStyle w:val="Default"/>
        <w:spacing w:line="360" w:lineRule="auto"/>
        <w:ind w:left="1440"/>
        <w:jc w:val="both"/>
      </w:pPr>
      <w:r w:rsidRPr="002773CE">
        <w:t xml:space="preserve">- 3 years - </w:t>
      </w:r>
      <w:proofErr w:type="gramStart"/>
      <w:r w:rsidRPr="002773CE">
        <w:t>Fluorescent</w:t>
      </w:r>
      <w:proofErr w:type="gramEnd"/>
      <w:r w:rsidRPr="002773CE">
        <w:t xml:space="preserve"> tube lamps</w:t>
      </w:r>
    </w:p>
    <w:p w14:paraId="7909ECCB" w14:textId="77777777" w:rsidR="005569C9" w:rsidRPr="002773CE" w:rsidRDefault="005569C9" w:rsidP="001C719C">
      <w:pPr>
        <w:pStyle w:val="Default"/>
        <w:spacing w:line="360" w:lineRule="auto"/>
        <w:ind w:left="1440"/>
        <w:jc w:val="both"/>
      </w:pPr>
      <w:r w:rsidRPr="002773CE">
        <w:t>- 3 years - LED lighting</w:t>
      </w:r>
    </w:p>
    <w:p w14:paraId="0CCE18D1" w14:textId="77777777" w:rsidR="005569C9" w:rsidRPr="002773CE" w:rsidRDefault="005569C9" w:rsidP="001C719C">
      <w:pPr>
        <w:pStyle w:val="Default"/>
        <w:spacing w:line="360" w:lineRule="auto"/>
        <w:ind w:left="1440"/>
        <w:jc w:val="both"/>
      </w:pPr>
      <w:r w:rsidRPr="002773CE">
        <w:t>- 5 years - Electronic ballasts</w:t>
      </w:r>
    </w:p>
    <w:p w14:paraId="599AC126" w14:textId="77777777" w:rsidR="005569C9" w:rsidRPr="002773CE" w:rsidRDefault="005569C9" w:rsidP="001C719C">
      <w:pPr>
        <w:pStyle w:val="Default"/>
        <w:spacing w:line="360" w:lineRule="auto"/>
        <w:ind w:left="1440"/>
        <w:jc w:val="both"/>
      </w:pPr>
      <w:r w:rsidRPr="002773CE">
        <w:t>- 10 years - Exit signs</w:t>
      </w:r>
    </w:p>
    <w:p w14:paraId="20F0A3A0" w14:textId="77777777" w:rsidR="005569C9" w:rsidRPr="002773CE" w:rsidRDefault="005569C9" w:rsidP="001C719C">
      <w:pPr>
        <w:pStyle w:val="Default"/>
        <w:spacing w:after="120" w:line="360" w:lineRule="auto"/>
        <w:ind w:left="1440"/>
        <w:jc w:val="both"/>
      </w:pPr>
      <w:r w:rsidRPr="002773CE">
        <w:t xml:space="preserve">- 10 years </w:t>
      </w:r>
      <w:r w:rsidR="009716D8" w:rsidRPr="002773CE">
        <w:t>-</w:t>
      </w:r>
      <w:r w:rsidRPr="002773CE">
        <w:t xml:space="preserve"> Reflectors</w:t>
      </w:r>
    </w:p>
    <w:p w14:paraId="4AC1FC47" w14:textId="77777777" w:rsidR="005569C9" w:rsidRPr="00052A8A" w:rsidRDefault="00097232" w:rsidP="00052A8A">
      <w:pPr>
        <w:pStyle w:val="Default"/>
        <w:spacing w:after="120"/>
        <w:outlineLvl w:val="0"/>
        <w:rPr>
          <w:b/>
          <w:sz w:val="28"/>
          <w:szCs w:val="28"/>
        </w:rPr>
      </w:pPr>
      <w:bookmarkStart w:id="26" w:name="_Toc95915132"/>
      <w:r>
        <w:rPr>
          <w:b/>
          <w:sz w:val="28"/>
          <w:szCs w:val="28"/>
        </w:rPr>
        <w:t>19</w:t>
      </w:r>
      <w:r w:rsidR="005569C9" w:rsidRPr="00052A8A">
        <w:rPr>
          <w:b/>
          <w:sz w:val="28"/>
          <w:szCs w:val="28"/>
        </w:rPr>
        <w:t>.</w:t>
      </w:r>
      <w:r w:rsidR="005569C9" w:rsidRPr="00052A8A">
        <w:rPr>
          <w:b/>
          <w:sz w:val="28"/>
          <w:szCs w:val="28"/>
        </w:rPr>
        <w:tab/>
        <w:t>Limitation of Liability</w:t>
      </w:r>
      <w:bookmarkEnd w:id="26"/>
    </w:p>
    <w:p w14:paraId="0EF810C1" w14:textId="04496844" w:rsidR="007A3871" w:rsidRPr="00C65472" w:rsidRDefault="007A3871" w:rsidP="007A3871">
      <w:pPr>
        <w:pStyle w:val="Default"/>
        <w:jc w:val="both"/>
        <w:rPr>
          <w:u w:val="dotted"/>
        </w:rPr>
      </w:pPr>
      <w:bookmarkStart w:id="27" w:name="_Hlk73087146"/>
      <w:r w:rsidRPr="00C65472">
        <w:rPr>
          <w:u w:val="dotted"/>
        </w:rPr>
        <w:t xml:space="preserve">Participating Trade Allies must agree to carry or cause to be carried at all times during the course of the program insurance applying to all work undertaken by </w:t>
      </w:r>
      <w:r w:rsidR="00C65472">
        <w:rPr>
          <w:u w:val="dotted"/>
        </w:rPr>
        <w:t xml:space="preserve">the </w:t>
      </w:r>
      <w:r w:rsidRPr="00C65472">
        <w:rPr>
          <w:u w:val="dotted"/>
        </w:rPr>
        <w:t>approved contractor</w:t>
      </w:r>
      <w:r w:rsidR="00C65472">
        <w:rPr>
          <w:u w:val="dotted"/>
        </w:rPr>
        <w:t xml:space="preserve"> or their</w:t>
      </w:r>
      <w:r w:rsidRPr="00C65472">
        <w:rPr>
          <w:u w:val="dotted"/>
        </w:rPr>
        <w:t xml:space="preserve"> agents, employees and any person(s) for whom the approved contractor may be liable including, but not limited to, the following:</w:t>
      </w:r>
    </w:p>
    <w:p w14:paraId="5DA7713C" w14:textId="77777777" w:rsidR="00052A8A" w:rsidRPr="00C65472" w:rsidRDefault="00052A8A" w:rsidP="007A3871">
      <w:pPr>
        <w:pStyle w:val="Default"/>
        <w:jc w:val="both"/>
        <w:rPr>
          <w:u w:val="dotted"/>
        </w:rPr>
      </w:pPr>
    </w:p>
    <w:p w14:paraId="7BB002AE" w14:textId="77777777" w:rsidR="00735C55" w:rsidRPr="007C5093" w:rsidRDefault="00735C55" w:rsidP="00735C55">
      <w:pPr>
        <w:pStyle w:val="Default"/>
        <w:jc w:val="both"/>
        <w:rPr>
          <w:vanish/>
          <w:u w:val="dotted"/>
        </w:rPr>
      </w:pPr>
      <w:r w:rsidRPr="007C5093">
        <w:rPr>
          <w:vanish/>
          <w:u w:val="dotted"/>
        </w:rPr>
        <w:t>Worker’s Compensation Insurance including Employer’s Liability:</w:t>
      </w:r>
    </w:p>
    <w:p w14:paraId="2A63BF07" w14:textId="77777777" w:rsidR="00735C55" w:rsidRPr="007C5093" w:rsidRDefault="00735C55" w:rsidP="00735C55">
      <w:pPr>
        <w:pStyle w:val="Default"/>
        <w:jc w:val="both"/>
        <w:rPr>
          <w:vanish/>
          <w:u w:val="dotted"/>
        </w:rPr>
      </w:pPr>
    </w:p>
    <w:p w14:paraId="4FA44616" w14:textId="77777777" w:rsidR="00735C55" w:rsidRPr="00C65472" w:rsidRDefault="00735C55" w:rsidP="00B52EE6">
      <w:pPr>
        <w:pStyle w:val="Default"/>
        <w:numPr>
          <w:ilvl w:val="0"/>
          <w:numId w:val="10"/>
        </w:numPr>
        <w:jc w:val="both"/>
        <w:rPr>
          <w:vanish/>
          <w:u w:val="dotted"/>
        </w:rPr>
      </w:pPr>
      <w:r w:rsidRPr="00C65472">
        <w:rPr>
          <w:vanish/>
          <w:u w:val="dotted"/>
        </w:rPr>
        <w:t xml:space="preserve">A minimum of $1,000,000 </w:t>
      </w:r>
    </w:p>
    <w:p w14:paraId="6C218BF6" w14:textId="77777777" w:rsidR="00735C55" w:rsidRPr="007C5093" w:rsidRDefault="00735C55" w:rsidP="00B52EE6">
      <w:pPr>
        <w:pStyle w:val="Default"/>
        <w:rPr>
          <w:u w:val="dotted"/>
        </w:rPr>
      </w:pPr>
    </w:p>
    <w:p w14:paraId="5E0351A1" w14:textId="77777777" w:rsidR="00B52EE6" w:rsidRPr="00FB7939" w:rsidRDefault="00B52EE6" w:rsidP="007C5093">
      <w:pPr>
        <w:pStyle w:val="Default"/>
        <w:ind w:left="360"/>
        <w:rPr>
          <w:rFonts w:eastAsiaTheme="minorHAnsi"/>
          <w:sz w:val="28"/>
          <w:szCs w:val="28"/>
          <w:u w:val="dotted"/>
        </w:rPr>
      </w:pPr>
      <w:r w:rsidRPr="00FB7939">
        <w:rPr>
          <w:sz w:val="28"/>
          <w:szCs w:val="28"/>
          <w:u w:val="dotted"/>
        </w:rPr>
        <w:t>Comprehensive Ge</w:t>
      </w:r>
      <w:r w:rsidR="00052A8A" w:rsidRPr="00FB7939">
        <w:rPr>
          <w:sz w:val="28"/>
          <w:szCs w:val="28"/>
          <w:u w:val="dotted"/>
        </w:rPr>
        <w:t>neral Liability Insurance</w:t>
      </w:r>
    </w:p>
    <w:p w14:paraId="405F71AB" w14:textId="77777777" w:rsidR="00B52EE6" w:rsidRPr="00FB7939" w:rsidRDefault="00B52EE6" w:rsidP="00B52EE6">
      <w:pPr>
        <w:pStyle w:val="Default"/>
        <w:rPr>
          <w:sz w:val="28"/>
          <w:szCs w:val="28"/>
          <w:u w:val="dotted"/>
        </w:rPr>
      </w:pPr>
    </w:p>
    <w:p w14:paraId="28988158" w14:textId="77777777" w:rsidR="00B52EE6" w:rsidRPr="00FB7939" w:rsidRDefault="00B52EE6" w:rsidP="00B52EE6">
      <w:pPr>
        <w:pStyle w:val="Default"/>
        <w:numPr>
          <w:ilvl w:val="0"/>
          <w:numId w:val="20"/>
        </w:numPr>
        <w:adjustRightInd/>
        <w:rPr>
          <w:rFonts w:eastAsia="Times New Roman"/>
          <w:u w:val="dotted"/>
        </w:rPr>
      </w:pPr>
      <w:r w:rsidRPr="00FB7939">
        <w:rPr>
          <w:rFonts w:eastAsia="Times New Roman"/>
          <w:u w:val="dotted"/>
        </w:rPr>
        <w:t>Combined bodily injury and property damage limits of at least $1,000,000 each occurrence or in the aggregate</w:t>
      </w:r>
    </w:p>
    <w:p w14:paraId="7DA6C6BC" w14:textId="77777777" w:rsidR="00B52EE6" w:rsidRPr="00FB7939" w:rsidRDefault="00B52EE6" w:rsidP="00B52EE6">
      <w:pPr>
        <w:pStyle w:val="Default"/>
        <w:ind w:left="720"/>
        <w:rPr>
          <w:rFonts w:eastAsiaTheme="minorHAnsi"/>
          <w:u w:val="dotted"/>
        </w:rPr>
      </w:pPr>
    </w:p>
    <w:p w14:paraId="02231C3A" w14:textId="77777777" w:rsidR="00B52EE6" w:rsidRPr="00FB7939" w:rsidRDefault="00B52EE6" w:rsidP="00B52EE6">
      <w:pPr>
        <w:pStyle w:val="Default"/>
        <w:numPr>
          <w:ilvl w:val="0"/>
          <w:numId w:val="20"/>
        </w:numPr>
        <w:adjustRightInd/>
        <w:rPr>
          <w:rFonts w:eastAsia="Times New Roman"/>
          <w:u w:val="dotted"/>
        </w:rPr>
      </w:pPr>
      <w:r w:rsidRPr="00FB7939">
        <w:rPr>
          <w:rFonts w:eastAsia="Times New Roman"/>
          <w:u w:val="dotted"/>
        </w:rPr>
        <w:t>Coverage shall include Premises-Operations, Contractual, Broad Form Property Damage, Independent Approved contractors, Personal Injury and Products/Completed Operations coverage</w:t>
      </w:r>
    </w:p>
    <w:p w14:paraId="17FE8F5A" w14:textId="77777777" w:rsidR="00B52EE6" w:rsidRPr="00FB7939" w:rsidRDefault="00B52EE6" w:rsidP="00B52EE6">
      <w:pPr>
        <w:pStyle w:val="Default"/>
        <w:ind w:left="1800"/>
        <w:rPr>
          <w:rFonts w:eastAsiaTheme="minorHAnsi"/>
          <w:u w:val="dotted"/>
        </w:rPr>
      </w:pPr>
    </w:p>
    <w:p w14:paraId="1BCE1E9B" w14:textId="16955342" w:rsidR="00B52EE6" w:rsidRPr="00FB7939" w:rsidRDefault="00B52EE6" w:rsidP="00B52EE6">
      <w:pPr>
        <w:pStyle w:val="Default"/>
        <w:numPr>
          <w:ilvl w:val="0"/>
          <w:numId w:val="20"/>
        </w:numPr>
        <w:adjustRightInd/>
        <w:rPr>
          <w:rFonts w:eastAsia="Times New Roman"/>
          <w:u w:val="dotted"/>
        </w:rPr>
      </w:pPr>
      <w:r w:rsidRPr="00FB7939">
        <w:rPr>
          <w:rFonts w:eastAsia="Times New Roman"/>
          <w:u w:val="dotted"/>
        </w:rPr>
        <w:t xml:space="preserve">Insurance will remain in force for a period of at least two years after final acceptance of the work by </w:t>
      </w:r>
      <w:r w:rsidR="00303E85">
        <w:rPr>
          <w:rFonts w:eastAsia="Times New Roman"/>
          <w:u w:val="dotted"/>
        </w:rPr>
        <w:t>DNV</w:t>
      </w:r>
    </w:p>
    <w:p w14:paraId="4D78DF8C" w14:textId="77777777" w:rsidR="00B52EE6" w:rsidRPr="00FB7939" w:rsidRDefault="00B52EE6" w:rsidP="00B52EE6">
      <w:pPr>
        <w:pStyle w:val="Default"/>
        <w:rPr>
          <w:rFonts w:eastAsiaTheme="minorHAnsi"/>
          <w:sz w:val="28"/>
          <w:szCs w:val="28"/>
          <w:u w:val="dotted"/>
        </w:rPr>
      </w:pPr>
    </w:p>
    <w:p w14:paraId="3124E363" w14:textId="25561DD2" w:rsidR="00B52EE6" w:rsidRPr="00FB7939" w:rsidRDefault="00B52EE6" w:rsidP="007C5093">
      <w:pPr>
        <w:pStyle w:val="Default"/>
        <w:ind w:left="360"/>
        <w:rPr>
          <w:sz w:val="28"/>
          <w:szCs w:val="28"/>
          <w:u w:val="dotted"/>
        </w:rPr>
      </w:pPr>
      <w:r w:rsidRPr="00FB7939">
        <w:rPr>
          <w:sz w:val="28"/>
          <w:szCs w:val="28"/>
          <w:u w:val="dotted"/>
        </w:rPr>
        <w:t>Automobile Liability</w:t>
      </w:r>
    </w:p>
    <w:p w14:paraId="6F342B86" w14:textId="77777777" w:rsidR="00B52EE6" w:rsidRPr="00FB7939" w:rsidRDefault="00B52EE6" w:rsidP="00B52EE6">
      <w:pPr>
        <w:pStyle w:val="Default"/>
        <w:rPr>
          <w:sz w:val="28"/>
          <w:szCs w:val="28"/>
          <w:u w:val="dotted"/>
        </w:rPr>
      </w:pPr>
    </w:p>
    <w:p w14:paraId="3F76965C" w14:textId="3F402A0F" w:rsidR="00B52EE6" w:rsidRPr="00FB7939" w:rsidRDefault="00B52EE6" w:rsidP="00B52EE6">
      <w:pPr>
        <w:pStyle w:val="Default"/>
        <w:numPr>
          <w:ilvl w:val="0"/>
          <w:numId w:val="20"/>
        </w:numPr>
        <w:adjustRightInd/>
        <w:rPr>
          <w:rFonts w:eastAsia="Times New Roman"/>
          <w:u w:val="dotted"/>
        </w:rPr>
      </w:pPr>
      <w:r w:rsidRPr="00FB7939">
        <w:rPr>
          <w:rFonts w:eastAsia="Times New Roman"/>
          <w:u w:val="dotted"/>
        </w:rPr>
        <w:t>Coverage shall include owned, non-owned and hired automobiles with combined bodily injury and property damage limits of at least $1,000,000 per occurrence</w:t>
      </w:r>
    </w:p>
    <w:p w14:paraId="437329CE" w14:textId="77777777" w:rsidR="00B52EE6" w:rsidRPr="00FB7939" w:rsidRDefault="00B52EE6" w:rsidP="00B52EE6">
      <w:pPr>
        <w:pStyle w:val="Default"/>
        <w:ind w:left="720"/>
        <w:rPr>
          <w:rFonts w:eastAsiaTheme="minorHAnsi"/>
          <w:sz w:val="28"/>
          <w:szCs w:val="28"/>
          <w:u w:val="dotted"/>
        </w:rPr>
      </w:pPr>
    </w:p>
    <w:p w14:paraId="34178A45" w14:textId="79A7C7E4" w:rsidR="00B52EE6" w:rsidRPr="00FB7939" w:rsidRDefault="00303E85" w:rsidP="00B52EE6">
      <w:pPr>
        <w:pStyle w:val="Default"/>
        <w:rPr>
          <w:u w:val="dotted"/>
        </w:rPr>
      </w:pPr>
      <w:r>
        <w:rPr>
          <w:u w:val="dotted"/>
        </w:rPr>
        <w:t>DNV</w:t>
      </w:r>
      <w:r w:rsidR="00B52EE6" w:rsidRPr="00FB7939">
        <w:rPr>
          <w:u w:val="dotted"/>
        </w:rPr>
        <w:t xml:space="preserve"> is receiving funds from TEP to implement the EasySave </w:t>
      </w:r>
      <w:r w:rsidR="00C65472">
        <w:rPr>
          <w:u w:val="dotted"/>
        </w:rPr>
        <w:t>p</w:t>
      </w:r>
      <w:r w:rsidR="00C65472" w:rsidRPr="00FB7939">
        <w:rPr>
          <w:u w:val="dotted"/>
        </w:rPr>
        <w:t>rogram</w:t>
      </w:r>
      <w:r w:rsidR="00B52EE6" w:rsidRPr="00FB7939">
        <w:rPr>
          <w:u w:val="dotted"/>
        </w:rPr>
        <w:t>, but parties agree that TEP is not liable to either party for any losses or damages, including incidental or consequential damages, arising from any participation agreement. Furthermore, TEP makes no representation or warranty and assumes no liability with respect to quality, safety, performance or other aspect of any design, system or appliance installed pursuant to any participation agreement and expressly disclaims any such representation, warranty or liability</w:t>
      </w:r>
      <w:bookmarkEnd w:id="27"/>
      <w:r w:rsidR="00B52EE6" w:rsidRPr="00FB7939">
        <w:rPr>
          <w:u w:val="dotted"/>
        </w:rPr>
        <w:t>.</w:t>
      </w:r>
    </w:p>
    <w:p w14:paraId="06204905" w14:textId="77777777" w:rsidR="00B52EE6" w:rsidRDefault="00B52EE6" w:rsidP="00B52EE6">
      <w:pPr>
        <w:pStyle w:val="Default"/>
      </w:pPr>
    </w:p>
    <w:p w14:paraId="1F9DF107" w14:textId="4E6D7509" w:rsidR="00B52EE6" w:rsidRPr="00FB7939" w:rsidRDefault="00B52EE6" w:rsidP="00B52EE6">
      <w:pPr>
        <w:pStyle w:val="Default"/>
        <w:rPr>
          <w:u w:val="dotted"/>
        </w:rPr>
      </w:pPr>
      <w:r w:rsidRPr="00FB7939">
        <w:rPr>
          <w:u w:val="dotted"/>
        </w:rPr>
        <w:t xml:space="preserve">BOTH PARTIES (CUSTOMER and </w:t>
      </w:r>
      <w:r w:rsidR="00303E85">
        <w:rPr>
          <w:u w:val="dotted"/>
        </w:rPr>
        <w:t>DNV</w:t>
      </w:r>
      <w:r w:rsidRPr="00FB7939">
        <w:rPr>
          <w:u w:val="dotted"/>
        </w:rPr>
        <w:t>) AGREE:</w:t>
      </w:r>
    </w:p>
    <w:p w14:paraId="09345377" w14:textId="77777777" w:rsidR="005569C9" w:rsidRPr="00FB7939" w:rsidRDefault="00B52EE6" w:rsidP="00735C55">
      <w:pPr>
        <w:pStyle w:val="Default"/>
        <w:rPr>
          <w:u w:val="dotted"/>
        </w:rPr>
      </w:pPr>
      <w:r w:rsidRPr="00FB7939">
        <w:rPr>
          <w:u w:val="dotted"/>
        </w:rPr>
        <w:t>Incidental and Consequential Damages: NEITHER PARTY SHALL BE LIABLE TO THE OTHER FOR ANY INCIDENTAL, SPECIAL OR CONSEQUENTIAL DAMAGES.</w:t>
      </w:r>
    </w:p>
    <w:p w14:paraId="3772BF5E" w14:textId="39A4DEE3" w:rsidR="005569C9" w:rsidRDefault="005569C9" w:rsidP="001C719C">
      <w:pPr>
        <w:pStyle w:val="Default"/>
        <w:jc w:val="both"/>
        <w:rPr>
          <w:sz w:val="28"/>
          <w:szCs w:val="28"/>
        </w:rPr>
      </w:pPr>
    </w:p>
    <w:p w14:paraId="050782A9" w14:textId="0C2C38DB" w:rsidR="008675CA" w:rsidRDefault="008675CA" w:rsidP="001C719C">
      <w:pPr>
        <w:pStyle w:val="Default"/>
        <w:jc w:val="both"/>
        <w:rPr>
          <w:sz w:val="28"/>
          <w:szCs w:val="28"/>
        </w:rPr>
      </w:pPr>
    </w:p>
    <w:p w14:paraId="178DEA86" w14:textId="0CB4F947" w:rsidR="008675CA" w:rsidRDefault="008675CA" w:rsidP="001C719C">
      <w:pPr>
        <w:pStyle w:val="Default"/>
        <w:jc w:val="both"/>
        <w:rPr>
          <w:sz w:val="28"/>
          <w:szCs w:val="28"/>
        </w:rPr>
      </w:pPr>
    </w:p>
    <w:p w14:paraId="15CBD078" w14:textId="4C4EAC4D" w:rsidR="008675CA" w:rsidRDefault="008675CA" w:rsidP="001C719C">
      <w:pPr>
        <w:pStyle w:val="Default"/>
        <w:jc w:val="both"/>
        <w:rPr>
          <w:sz w:val="28"/>
          <w:szCs w:val="28"/>
        </w:rPr>
      </w:pPr>
    </w:p>
    <w:p w14:paraId="0134F2B3" w14:textId="229F193A" w:rsidR="008675CA" w:rsidRDefault="008675CA" w:rsidP="001C719C">
      <w:pPr>
        <w:pStyle w:val="Default"/>
        <w:jc w:val="both"/>
        <w:rPr>
          <w:sz w:val="28"/>
          <w:szCs w:val="28"/>
        </w:rPr>
      </w:pPr>
    </w:p>
    <w:p w14:paraId="4C9784C9" w14:textId="5932F9D3" w:rsidR="008675CA" w:rsidRDefault="008675CA" w:rsidP="001C719C">
      <w:pPr>
        <w:pStyle w:val="Default"/>
        <w:jc w:val="both"/>
        <w:rPr>
          <w:sz w:val="28"/>
          <w:szCs w:val="28"/>
        </w:rPr>
      </w:pPr>
    </w:p>
    <w:p w14:paraId="13A6EF38" w14:textId="14AF83BA" w:rsidR="008675CA" w:rsidRDefault="008675CA" w:rsidP="001C719C">
      <w:pPr>
        <w:pStyle w:val="Default"/>
        <w:jc w:val="both"/>
        <w:rPr>
          <w:sz w:val="28"/>
          <w:szCs w:val="28"/>
        </w:rPr>
      </w:pPr>
    </w:p>
    <w:p w14:paraId="1FA2C509" w14:textId="2E4BC115" w:rsidR="008675CA" w:rsidRDefault="008675CA" w:rsidP="001C719C">
      <w:pPr>
        <w:pStyle w:val="Default"/>
        <w:jc w:val="both"/>
        <w:rPr>
          <w:sz w:val="28"/>
          <w:szCs w:val="28"/>
        </w:rPr>
      </w:pPr>
    </w:p>
    <w:p w14:paraId="2B3B0EE8" w14:textId="77777777" w:rsidR="000210A3" w:rsidRDefault="000210A3" w:rsidP="001C719C">
      <w:pPr>
        <w:pStyle w:val="Default"/>
        <w:jc w:val="both"/>
        <w:rPr>
          <w:sz w:val="28"/>
          <w:szCs w:val="28"/>
        </w:rPr>
      </w:pPr>
    </w:p>
    <w:p w14:paraId="48244965" w14:textId="6BE14A8A" w:rsidR="005569C9" w:rsidRPr="00E861B6" w:rsidRDefault="005569C9" w:rsidP="00052A8A">
      <w:pPr>
        <w:pStyle w:val="Default"/>
        <w:outlineLvl w:val="0"/>
        <w:rPr>
          <w:b/>
          <w:sz w:val="28"/>
          <w:szCs w:val="28"/>
        </w:rPr>
      </w:pPr>
      <w:bookmarkStart w:id="28" w:name="_Toc95915133"/>
      <w:r w:rsidRPr="00E861B6">
        <w:rPr>
          <w:b/>
          <w:sz w:val="28"/>
          <w:szCs w:val="28"/>
        </w:rPr>
        <w:lastRenderedPageBreak/>
        <w:t xml:space="preserve">Appendix A: EasySave Forms </w:t>
      </w:r>
      <w:r w:rsidR="00E50F27">
        <w:rPr>
          <w:b/>
          <w:sz w:val="28"/>
          <w:szCs w:val="28"/>
        </w:rPr>
        <w:t xml:space="preserve">and </w:t>
      </w:r>
      <w:r w:rsidRPr="00E861B6">
        <w:rPr>
          <w:b/>
          <w:sz w:val="28"/>
          <w:szCs w:val="28"/>
        </w:rPr>
        <w:t>Definitions</w:t>
      </w:r>
      <w:bookmarkEnd w:id="28"/>
    </w:p>
    <w:p w14:paraId="33209623" w14:textId="77777777" w:rsidR="005569C9" w:rsidRDefault="005569C9" w:rsidP="001C719C">
      <w:pPr>
        <w:pStyle w:val="Default"/>
        <w:jc w:val="both"/>
        <w:rPr>
          <w:sz w:val="28"/>
          <w:szCs w:val="28"/>
        </w:rPr>
      </w:pPr>
    </w:p>
    <w:p w14:paraId="042C8C84" w14:textId="77777777" w:rsidR="005569C9" w:rsidRPr="002773CE" w:rsidRDefault="005569C9" w:rsidP="001C719C">
      <w:pPr>
        <w:pStyle w:val="Default"/>
        <w:jc w:val="both"/>
      </w:pPr>
      <w:r w:rsidRPr="002773CE">
        <w:t xml:space="preserve">This Appendix describes the forms for customers and Trade Allies for the EasySave </w:t>
      </w:r>
      <w:r w:rsidR="009716D8">
        <w:t>p</w:t>
      </w:r>
      <w:r w:rsidRPr="002773CE">
        <w:t>rogram. The forms are available via a secure website that requires a login name and password. This Appendix will be updated as necessary as new forms are created or forms are modified.</w:t>
      </w:r>
    </w:p>
    <w:p w14:paraId="3C176897" w14:textId="77777777" w:rsidR="005569C9" w:rsidRDefault="005569C9" w:rsidP="001C719C">
      <w:pPr>
        <w:pStyle w:val="Default"/>
        <w:jc w:val="both"/>
        <w:rPr>
          <w:sz w:val="28"/>
          <w:szCs w:val="28"/>
        </w:rPr>
      </w:pPr>
    </w:p>
    <w:p w14:paraId="69142B04" w14:textId="77777777" w:rsidR="004063FB" w:rsidRDefault="004063FB" w:rsidP="001C719C">
      <w:pPr>
        <w:pStyle w:val="Default"/>
        <w:jc w:val="both"/>
        <w:rPr>
          <w:color w:val="auto"/>
          <w:sz w:val="28"/>
          <w:szCs w:val="28"/>
        </w:rPr>
      </w:pPr>
      <w:r>
        <w:rPr>
          <w:color w:val="auto"/>
          <w:sz w:val="28"/>
          <w:szCs w:val="28"/>
        </w:rPr>
        <w:t>Customer</w:t>
      </w:r>
    </w:p>
    <w:p w14:paraId="45C32134" w14:textId="77777777" w:rsidR="004063FB" w:rsidRDefault="004063FB" w:rsidP="004063FB">
      <w:pPr>
        <w:pStyle w:val="Default"/>
        <w:jc w:val="both"/>
        <w:rPr>
          <w:color w:val="auto"/>
        </w:rPr>
      </w:pPr>
      <w:r>
        <w:rPr>
          <w:color w:val="auto"/>
          <w:sz w:val="28"/>
          <w:szCs w:val="28"/>
        </w:rPr>
        <w:tab/>
      </w:r>
      <w:r>
        <w:rPr>
          <w:color w:val="auto"/>
        </w:rPr>
        <w:t xml:space="preserve">The energy efficiency decision maker at an organization or firm that receives electric </w:t>
      </w:r>
    </w:p>
    <w:p w14:paraId="69DD9F2E" w14:textId="62C74C17" w:rsidR="004063FB" w:rsidRDefault="004063FB" w:rsidP="004063FB">
      <w:pPr>
        <w:pStyle w:val="Default"/>
        <w:ind w:firstLine="720"/>
        <w:jc w:val="both"/>
        <w:rPr>
          <w:color w:val="auto"/>
        </w:rPr>
      </w:pPr>
      <w:r>
        <w:rPr>
          <w:color w:val="auto"/>
        </w:rPr>
        <w:t>service from TEP on an approved rate schedule</w:t>
      </w:r>
      <w:r w:rsidR="00DB5559">
        <w:rPr>
          <w:color w:val="auto"/>
        </w:rPr>
        <w:t>.</w:t>
      </w:r>
    </w:p>
    <w:p w14:paraId="76309900" w14:textId="77777777" w:rsidR="004063FB" w:rsidRPr="007C5093" w:rsidRDefault="004063FB" w:rsidP="007C5093">
      <w:pPr>
        <w:pStyle w:val="Default"/>
        <w:ind w:firstLine="720"/>
        <w:jc w:val="both"/>
        <w:rPr>
          <w:color w:val="auto"/>
        </w:rPr>
      </w:pPr>
    </w:p>
    <w:p w14:paraId="416A876A" w14:textId="77777777" w:rsidR="005569C9" w:rsidRPr="00052A8A" w:rsidRDefault="005569C9" w:rsidP="001C719C">
      <w:pPr>
        <w:pStyle w:val="Default"/>
        <w:jc w:val="both"/>
        <w:rPr>
          <w:color w:val="auto"/>
          <w:sz w:val="28"/>
          <w:szCs w:val="28"/>
        </w:rPr>
      </w:pPr>
      <w:r w:rsidRPr="00052A8A">
        <w:rPr>
          <w:color w:val="auto"/>
          <w:sz w:val="28"/>
          <w:szCs w:val="28"/>
        </w:rPr>
        <w:t>Approved Contractor Application and Agreement</w:t>
      </w:r>
    </w:p>
    <w:p w14:paraId="2ED9D56F" w14:textId="582FB53B" w:rsidR="005569C9" w:rsidRPr="00052A8A" w:rsidRDefault="005569C9" w:rsidP="001C719C">
      <w:pPr>
        <w:pStyle w:val="Default"/>
        <w:ind w:left="720"/>
        <w:jc w:val="both"/>
        <w:rPr>
          <w:color w:val="auto"/>
        </w:rPr>
      </w:pPr>
      <w:r w:rsidRPr="00052A8A">
        <w:rPr>
          <w:color w:val="auto"/>
        </w:rPr>
        <w:t xml:space="preserve">Outlines the obligations and commitments between </w:t>
      </w:r>
      <w:r w:rsidR="00303E85">
        <w:rPr>
          <w:color w:val="auto"/>
        </w:rPr>
        <w:t>DNV</w:t>
      </w:r>
      <w:r w:rsidRPr="00052A8A">
        <w:rPr>
          <w:color w:val="auto"/>
        </w:rPr>
        <w:t xml:space="preserve"> and the Approved contractor</w:t>
      </w:r>
      <w:r w:rsidR="00DB5559">
        <w:rPr>
          <w:color w:val="auto"/>
        </w:rPr>
        <w:t>.</w:t>
      </w:r>
    </w:p>
    <w:p w14:paraId="75DDDAB0" w14:textId="77777777" w:rsidR="005569C9" w:rsidRPr="00052A8A" w:rsidRDefault="005569C9" w:rsidP="001C719C">
      <w:pPr>
        <w:pStyle w:val="Default"/>
        <w:jc w:val="both"/>
        <w:rPr>
          <w:color w:val="auto"/>
          <w:sz w:val="28"/>
          <w:szCs w:val="28"/>
        </w:rPr>
      </w:pPr>
    </w:p>
    <w:p w14:paraId="5B1B8A32" w14:textId="77777777" w:rsidR="005569C9" w:rsidRPr="00052A8A" w:rsidRDefault="005569C9" w:rsidP="001C719C">
      <w:pPr>
        <w:pStyle w:val="Default"/>
        <w:jc w:val="both"/>
        <w:rPr>
          <w:color w:val="auto"/>
          <w:sz w:val="28"/>
          <w:szCs w:val="28"/>
        </w:rPr>
      </w:pPr>
      <w:r w:rsidRPr="00052A8A">
        <w:rPr>
          <w:color w:val="auto"/>
          <w:sz w:val="28"/>
          <w:szCs w:val="28"/>
        </w:rPr>
        <w:t>Participation Agreement</w:t>
      </w:r>
    </w:p>
    <w:p w14:paraId="4A918E88" w14:textId="394885E8" w:rsidR="005569C9" w:rsidRPr="00052A8A" w:rsidRDefault="005569C9" w:rsidP="001C719C">
      <w:pPr>
        <w:pStyle w:val="Default"/>
        <w:ind w:left="720"/>
        <w:jc w:val="both"/>
        <w:rPr>
          <w:color w:val="auto"/>
        </w:rPr>
      </w:pPr>
      <w:r w:rsidRPr="00052A8A">
        <w:rPr>
          <w:color w:val="auto"/>
        </w:rPr>
        <w:t xml:space="preserve">Contract outlining measures to be installed, explaining liability and warranties, and listing project costs and incentives. Signed by approved contractor, customer and </w:t>
      </w:r>
      <w:r w:rsidR="00303E85">
        <w:rPr>
          <w:color w:val="auto"/>
        </w:rPr>
        <w:t>DNV</w:t>
      </w:r>
      <w:r w:rsidRPr="00052A8A">
        <w:rPr>
          <w:color w:val="auto"/>
        </w:rPr>
        <w:t xml:space="preserve">. </w:t>
      </w:r>
    </w:p>
    <w:p w14:paraId="4D15E699" w14:textId="77777777" w:rsidR="005569C9" w:rsidRPr="00052A8A" w:rsidRDefault="005569C9" w:rsidP="001C719C">
      <w:pPr>
        <w:pStyle w:val="Default"/>
        <w:jc w:val="both"/>
        <w:rPr>
          <w:color w:val="auto"/>
          <w:sz w:val="28"/>
          <w:szCs w:val="28"/>
        </w:rPr>
      </w:pPr>
    </w:p>
    <w:p w14:paraId="5C3C6AB3" w14:textId="77777777" w:rsidR="005569C9" w:rsidRPr="00052A8A" w:rsidRDefault="005569C9" w:rsidP="001C719C">
      <w:pPr>
        <w:pStyle w:val="Default"/>
        <w:jc w:val="both"/>
        <w:rPr>
          <w:color w:val="auto"/>
          <w:sz w:val="28"/>
          <w:szCs w:val="28"/>
        </w:rPr>
      </w:pPr>
      <w:r w:rsidRPr="00052A8A">
        <w:rPr>
          <w:color w:val="auto"/>
          <w:sz w:val="28"/>
          <w:szCs w:val="28"/>
        </w:rPr>
        <w:t>Pre-Installation Inspection Form</w:t>
      </w:r>
    </w:p>
    <w:p w14:paraId="14D63D2E" w14:textId="2E45D738" w:rsidR="005569C9" w:rsidRPr="00052A8A" w:rsidRDefault="005569C9" w:rsidP="001C719C">
      <w:pPr>
        <w:pStyle w:val="Default"/>
        <w:ind w:left="720"/>
        <w:jc w:val="both"/>
        <w:rPr>
          <w:color w:val="auto"/>
        </w:rPr>
      </w:pPr>
      <w:r w:rsidRPr="00052A8A">
        <w:rPr>
          <w:color w:val="auto"/>
        </w:rPr>
        <w:t xml:space="preserve">Form used by </w:t>
      </w:r>
      <w:r w:rsidR="00303E85">
        <w:rPr>
          <w:color w:val="auto"/>
        </w:rPr>
        <w:t>DNV</w:t>
      </w:r>
      <w:r w:rsidRPr="00052A8A">
        <w:rPr>
          <w:color w:val="auto"/>
        </w:rPr>
        <w:t xml:space="preserve"> inspector to ensure the measures proposed by the approved contractor are appropriate and feasible for the customer’s facility and to verify the accuracy of the participation agreement.</w:t>
      </w:r>
    </w:p>
    <w:p w14:paraId="1CAE2E55" w14:textId="77777777" w:rsidR="00C3519F" w:rsidRPr="00052A8A" w:rsidRDefault="00C3519F" w:rsidP="001C719C">
      <w:pPr>
        <w:pStyle w:val="Default"/>
        <w:jc w:val="both"/>
        <w:rPr>
          <w:color w:val="auto"/>
          <w:sz w:val="28"/>
          <w:szCs w:val="28"/>
        </w:rPr>
      </w:pPr>
    </w:p>
    <w:p w14:paraId="66C4404B" w14:textId="77777777" w:rsidR="005569C9" w:rsidRPr="00052A8A" w:rsidRDefault="005569C9" w:rsidP="001C719C">
      <w:pPr>
        <w:pStyle w:val="Default"/>
        <w:jc w:val="both"/>
        <w:rPr>
          <w:color w:val="auto"/>
          <w:sz w:val="28"/>
          <w:szCs w:val="28"/>
        </w:rPr>
      </w:pPr>
      <w:r w:rsidRPr="00052A8A">
        <w:rPr>
          <w:color w:val="auto"/>
          <w:sz w:val="28"/>
          <w:szCs w:val="28"/>
        </w:rPr>
        <w:t>Change Order</w:t>
      </w:r>
    </w:p>
    <w:p w14:paraId="11E36CAB" w14:textId="65AA3C17" w:rsidR="005569C9" w:rsidRPr="00052A8A" w:rsidRDefault="005569C9" w:rsidP="001C719C">
      <w:pPr>
        <w:pStyle w:val="Default"/>
        <w:ind w:left="720"/>
        <w:jc w:val="both"/>
        <w:rPr>
          <w:color w:val="auto"/>
        </w:rPr>
      </w:pPr>
      <w:r w:rsidRPr="00052A8A">
        <w:rPr>
          <w:color w:val="auto"/>
        </w:rPr>
        <w:t xml:space="preserve">Document submitted by approved contractor to acknowledge and accept changes made to the project by </w:t>
      </w:r>
      <w:r w:rsidR="00303E85">
        <w:rPr>
          <w:color w:val="auto"/>
        </w:rPr>
        <w:t>DNV</w:t>
      </w:r>
      <w:r w:rsidRPr="00052A8A">
        <w:rPr>
          <w:color w:val="auto"/>
        </w:rPr>
        <w:t xml:space="preserve"> inspector, as a result of the pre-installation inspection. This document is not required if the </w:t>
      </w:r>
      <w:r w:rsidR="00303E85">
        <w:rPr>
          <w:color w:val="auto"/>
        </w:rPr>
        <w:t>DNV</w:t>
      </w:r>
      <w:r w:rsidRPr="00052A8A">
        <w:rPr>
          <w:color w:val="auto"/>
        </w:rPr>
        <w:t xml:space="preserve"> inspector does not make any changes to the project, </w:t>
      </w:r>
      <w:proofErr w:type="gramStart"/>
      <w:r w:rsidRPr="00052A8A">
        <w:rPr>
          <w:color w:val="auto"/>
        </w:rPr>
        <w:t>i.e.</w:t>
      </w:r>
      <w:proofErr w:type="gramEnd"/>
      <w:r w:rsidRPr="00052A8A">
        <w:rPr>
          <w:color w:val="auto"/>
        </w:rPr>
        <w:t xml:space="preserve"> passes the pre-installation inspection or an inspection is waived. </w:t>
      </w:r>
    </w:p>
    <w:p w14:paraId="5CCC936B" w14:textId="77777777" w:rsidR="005569C9" w:rsidRPr="00052A8A" w:rsidRDefault="005569C9" w:rsidP="001C719C">
      <w:pPr>
        <w:pStyle w:val="Default"/>
        <w:jc w:val="both"/>
        <w:rPr>
          <w:color w:val="auto"/>
          <w:sz w:val="28"/>
          <w:szCs w:val="28"/>
        </w:rPr>
      </w:pPr>
    </w:p>
    <w:p w14:paraId="2F404BA9" w14:textId="77777777" w:rsidR="005569C9" w:rsidRPr="00052A8A" w:rsidRDefault="005569C9" w:rsidP="001C719C">
      <w:pPr>
        <w:pStyle w:val="Default"/>
        <w:jc w:val="both"/>
        <w:rPr>
          <w:color w:val="auto"/>
          <w:sz w:val="28"/>
          <w:szCs w:val="28"/>
        </w:rPr>
      </w:pPr>
      <w:r w:rsidRPr="00052A8A">
        <w:rPr>
          <w:color w:val="auto"/>
          <w:sz w:val="28"/>
          <w:szCs w:val="28"/>
        </w:rPr>
        <w:t>Project Completion Form</w:t>
      </w:r>
    </w:p>
    <w:p w14:paraId="50A3596D" w14:textId="4ED02E86" w:rsidR="005569C9" w:rsidRPr="00052A8A" w:rsidRDefault="005569C9" w:rsidP="001C719C">
      <w:pPr>
        <w:pStyle w:val="Default"/>
        <w:ind w:left="720"/>
        <w:jc w:val="both"/>
        <w:rPr>
          <w:color w:val="auto"/>
        </w:rPr>
      </w:pPr>
      <w:r w:rsidRPr="00052A8A">
        <w:rPr>
          <w:color w:val="auto"/>
        </w:rPr>
        <w:t xml:space="preserve">Form signed by approved contractor (Trade Ally) and the customer to confirm the work is complete. Project modifications may be entered on this form. The Trade Ally returns the completed and signed form to </w:t>
      </w:r>
      <w:r w:rsidR="00303E85">
        <w:rPr>
          <w:color w:val="auto"/>
        </w:rPr>
        <w:t>DNV</w:t>
      </w:r>
      <w:r w:rsidRPr="00052A8A">
        <w:rPr>
          <w:color w:val="auto"/>
        </w:rPr>
        <w:t>.</w:t>
      </w:r>
    </w:p>
    <w:p w14:paraId="25AA8BEE" w14:textId="77777777" w:rsidR="005569C9" w:rsidRPr="00052A8A" w:rsidRDefault="005569C9" w:rsidP="001C719C">
      <w:pPr>
        <w:pStyle w:val="Default"/>
        <w:jc w:val="both"/>
        <w:rPr>
          <w:color w:val="auto"/>
          <w:sz w:val="28"/>
          <w:szCs w:val="28"/>
        </w:rPr>
      </w:pPr>
    </w:p>
    <w:p w14:paraId="1AC7016E" w14:textId="77777777" w:rsidR="005569C9" w:rsidRPr="00052A8A" w:rsidRDefault="005569C9" w:rsidP="001C719C">
      <w:pPr>
        <w:pStyle w:val="Default"/>
        <w:jc w:val="both"/>
        <w:rPr>
          <w:color w:val="auto"/>
          <w:sz w:val="28"/>
          <w:szCs w:val="28"/>
        </w:rPr>
      </w:pPr>
      <w:r w:rsidRPr="00052A8A">
        <w:rPr>
          <w:color w:val="auto"/>
          <w:sz w:val="28"/>
          <w:szCs w:val="28"/>
        </w:rPr>
        <w:t>Post-Installation Inspection</w:t>
      </w:r>
    </w:p>
    <w:p w14:paraId="5F8E95E0" w14:textId="2395A14D" w:rsidR="005569C9" w:rsidRPr="00052A8A" w:rsidRDefault="005569C9" w:rsidP="001C719C">
      <w:pPr>
        <w:pStyle w:val="Default"/>
        <w:ind w:left="720"/>
        <w:jc w:val="both"/>
        <w:rPr>
          <w:color w:val="auto"/>
        </w:rPr>
      </w:pPr>
      <w:r w:rsidRPr="00052A8A">
        <w:rPr>
          <w:color w:val="auto"/>
        </w:rPr>
        <w:t xml:space="preserve">Form used by </w:t>
      </w:r>
      <w:r w:rsidR="00303E85">
        <w:rPr>
          <w:color w:val="auto"/>
        </w:rPr>
        <w:t>DNV</w:t>
      </w:r>
      <w:r w:rsidRPr="00052A8A">
        <w:rPr>
          <w:color w:val="auto"/>
        </w:rPr>
        <w:t xml:space="preserve"> inspector to ensure the measures proposed by the Trade Ally were installed per the participation agreement or the project completion form, that all equipment is in working order and that the customer is satisfied with the project. </w:t>
      </w:r>
    </w:p>
    <w:p w14:paraId="7C18A610" w14:textId="77777777" w:rsidR="005569C9" w:rsidRPr="00052A8A" w:rsidRDefault="005569C9" w:rsidP="001C719C">
      <w:pPr>
        <w:pStyle w:val="Default"/>
        <w:jc w:val="both"/>
        <w:rPr>
          <w:color w:val="auto"/>
          <w:sz w:val="28"/>
          <w:szCs w:val="28"/>
        </w:rPr>
      </w:pPr>
    </w:p>
    <w:p w14:paraId="58A79F09" w14:textId="77777777" w:rsidR="005569C9" w:rsidRPr="00052A8A" w:rsidRDefault="005569C9" w:rsidP="001C719C">
      <w:pPr>
        <w:pStyle w:val="Default"/>
        <w:jc w:val="both"/>
        <w:rPr>
          <w:color w:val="auto"/>
          <w:sz w:val="28"/>
          <w:szCs w:val="28"/>
        </w:rPr>
      </w:pPr>
      <w:r w:rsidRPr="00052A8A">
        <w:rPr>
          <w:color w:val="auto"/>
          <w:sz w:val="28"/>
          <w:szCs w:val="28"/>
        </w:rPr>
        <w:t>Payment Notification Form</w:t>
      </w:r>
    </w:p>
    <w:p w14:paraId="0762E681" w14:textId="13302101" w:rsidR="005569C9" w:rsidRDefault="005569C9">
      <w:pPr>
        <w:pStyle w:val="Default"/>
        <w:ind w:left="720"/>
        <w:jc w:val="both"/>
        <w:rPr>
          <w:sz w:val="28"/>
          <w:szCs w:val="28"/>
        </w:rPr>
      </w:pPr>
      <w:r w:rsidRPr="00052A8A">
        <w:rPr>
          <w:color w:val="auto"/>
        </w:rPr>
        <w:lastRenderedPageBreak/>
        <w:t>Form</w:t>
      </w:r>
      <w:r w:rsidR="007A3871" w:rsidRPr="00052A8A">
        <w:rPr>
          <w:color w:val="auto"/>
        </w:rPr>
        <w:t xml:space="preserve"> used to</w:t>
      </w:r>
      <w:r w:rsidRPr="00052A8A">
        <w:rPr>
          <w:color w:val="auto"/>
        </w:rPr>
        <w:t xml:space="preserve"> </w:t>
      </w:r>
      <w:r w:rsidR="007A3871" w:rsidRPr="00052A8A">
        <w:rPr>
          <w:color w:val="auto"/>
        </w:rPr>
        <w:t xml:space="preserve">notify </w:t>
      </w:r>
      <w:r w:rsidRPr="00052A8A">
        <w:rPr>
          <w:color w:val="auto"/>
        </w:rPr>
        <w:t xml:space="preserve">the customer and approved contractor that </w:t>
      </w:r>
      <w:r w:rsidR="00303E85">
        <w:rPr>
          <w:color w:val="auto"/>
        </w:rPr>
        <w:t>DNV</w:t>
      </w:r>
      <w:r w:rsidRPr="00052A8A">
        <w:rPr>
          <w:color w:val="auto"/>
        </w:rPr>
        <w:t xml:space="preserve"> will be issuing a payment to the approved contractor for the work done. If a project </w:t>
      </w:r>
      <w:r w:rsidR="00D40DB4" w:rsidRPr="00052A8A">
        <w:rPr>
          <w:color w:val="auto"/>
        </w:rPr>
        <w:t>fail</w:t>
      </w:r>
      <w:r w:rsidR="00052A8A">
        <w:rPr>
          <w:color w:val="auto"/>
        </w:rPr>
        <w:t>s</w:t>
      </w:r>
      <w:r w:rsidR="00D40DB4" w:rsidRPr="00052A8A">
        <w:rPr>
          <w:color w:val="auto"/>
        </w:rPr>
        <w:t xml:space="preserve"> </w:t>
      </w:r>
      <w:r w:rsidRPr="00052A8A">
        <w:rPr>
          <w:color w:val="auto"/>
        </w:rPr>
        <w:t xml:space="preserve">the post-installation inspection, the approved contractor and customer have </w:t>
      </w:r>
      <w:r w:rsidR="007A3871" w:rsidRPr="00052A8A">
        <w:rPr>
          <w:color w:val="auto"/>
        </w:rPr>
        <w:t>10 business days</w:t>
      </w:r>
      <w:r w:rsidRPr="00052A8A">
        <w:rPr>
          <w:color w:val="auto"/>
        </w:rPr>
        <w:t xml:space="preserve"> after the date on the payment notification form to contest the project completion details.</w:t>
      </w:r>
    </w:p>
    <w:p w14:paraId="783190CB" w14:textId="545DF1AB" w:rsidR="00C65472" w:rsidRDefault="00C65472" w:rsidP="001C719C">
      <w:pPr>
        <w:pStyle w:val="Default"/>
        <w:ind w:left="720"/>
        <w:jc w:val="both"/>
        <w:rPr>
          <w:vanish/>
          <w:sz w:val="28"/>
          <w:szCs w:val="28"/>
        </w:rPr>
      </w:pPr>
    </w:p>
    <w:p w14:paraId="330D0E74" w14:textId="116FE2AF" w:rsidR="00C3519F" w:rsidRDefault="00C3519F" w:rsidP="001C719C">
      <w:pPr>
        <w:pStyle w:val="Default"/>
        <w:ind w:left="720"/>
        <w:jc w:val="both"/>
        <w:rPr>
          <w:vanish/>
          <w:sz w:val="28"/>
          <w:szCs w:val="28"/>
        </w:rPr>
      </w:pPr>
    </w:p>
    <w:p w14:paraId="0C581870" w14:textId="424735E5" w:rsidR="00C3519F" w:rsidRDefault="00C3519F" w:rsidP="001C719C">
      <w:pPr>
        <w:pStyle w:val="Default"/>
        <w:ind w:left="720"/>
        <w:jc w:val="both"/>
        <w:rPr>
          <w:vanish/>
          <w:sz w:val="28"/>
          <w:szCs w:val="28"/>
        </w:rPr>
      </w:pPr>
    </w:p>
    <w:p w14:paraId="40EB78EB" w14:textId="290A7AA2" w:rsidR="00C3519F" w:rsidRDefault="00C3519F" w:rsidP="001C719C">
      <w:pPr>
        <w:pStyle w:val="Default"/>
        <w:ind w:left="720"/>
        <w:jc w:val="both"/>
        <w:rPr>
          <w:vanish/>
          <w:sz w:val="28"/>
          <w:szCs w:val="28"/>
        </w:rPr>
      </w:pPr>
    </w:p>
    <w:p w14:paraId="120F6CB3" w14:textId="0E1EB0EA" w:rsidR="00C3519F" w:rsidRDefault="00C3519F" w:rsidP="001C719C">
      <w:pPr>
        <w:pStyle w:val="Default"/>
        <w:ind w:left="720"/>
        <w:jc w:val="both"/>
        <w:rPr>
          <w:vanish/>
          <w:sz w:val="28"/>
          <w:szCs w:val="28"/>
        </w:rPr>
      </w:pPr>
    </w:p>
    <w:p w14:paraId="4A75BAA1" w14:textId="426DBA85" w:rsidR="00C3519F" w:rsidRDefault="00C3519F" w:rsidP="001C719C">
      <w:pPr>
        <w:pStyle w:val="Default"/>
        <w:ind w:left="720"/>
        <w:jc w:val="both"/>
        <w:rPr>
          <w:vanish/>
          <w:sz w:val="28"/>
          <w:szCs w:val="28"/>
        </w:rPr>
      </w:pPr>
    </w:p>
    <w:p w14:paraId="06994867" w14:textId="66ECFE53" w:rsidR="008675CA" w:rsidRDefault="008675CA" w:rsidP="001C719C">
      <w:pPr>
        <w:pStyle w:val="Default"/>
        <w:ind w:left="720"/>
        <w:jc w:val="both"/>
        <w:rPr>
          <w:vanish/>
          <w:sz w:val="28"/>
          <w:szCs w:val="28"/>
        </w:rPr>
      </w:pPr>
    </w:p>
    <w:p w14:paraId="2CE59EE7" w14:textId="000DDB37" w:rsidR="008675CA" w:rsidRDefault="008675CA" w:rsidP="001C719C">
      <w:pPr>
        <w:pStyle w:val="Default"/>
        <w:ind w:left="720"/>
        <w:jc w:val="both"/>
        <w:rPr>
          <w:vanish/>
          <w:sz w:val="28"/>
          <w:szCs w:val="28"/>
        </w:rPr>
      </w:pPr>
    </w:p>
    <w:p w14:paraId="2E9F718C" w14:textId="35D3D3EA" w:rsidR="008675CA" w:rsidRDefault="008675CA" w:rsidP="001C719C">
      <w:pPr>
        <w:pStyle w:val="Default"/>
        <w:ind w:left="720"/>
        <w:jc w:val="both"/>
        <w:rPr>
          <w:vanish/>
          <w:sz w:val="28"/>
          <w:szCs w:val="28"/>
        </w:rPr>
      </w:pPr>
    </w:p>
    <w:p w14:paraId="1A758722" w14:textId="29CDF600" w:rsidR="008675CA" w:rsidRDefault="008675CA" w:rsidP="001C719C">
      <w:pPr>
        <w:pStyle w:val="Default"/>
        <w:ind w:left="720"/>
        <w:jc w:val="both"/>
        <w:rPr>
          <w:vanish/>
          <w:sz w:val="28"/>
          <w:szCs w:val="28"/>
        </w:rPr>
      </w:pPr>
    </w:p>
    <w:p w14:paraId="5D631EE3" w14:textId="3EA4CFD8" w:rsidR="008675CA" w:rsidRDefault="008675CA" w:rsidP="001C719C">
      <w:pPr>
        <w:pStyle w:val="Default"/>
        <w:ind w:left="720"/>
        <w:jc w:val="both"/>
        <w:rPr>
          <w:vanish/>
          <w:sz w:val="28"/>
          <w:szCs w:val="28"/>
        </w:rPr>
      </w:pPr>
    </w:p>
    <w:p w14:paraId="53C66217" w14:textId="7CADF746" w:rsidR="008675CA" w:rsidRDefault="008675CA" w:rsidP="001C719C">
      <w:pPr>
        <w:pStyle w:val="Default"/>
        <w:ind w:left="720"/>
        <w:jc w:val="both"/>
        <w:rPr>
          <w:vanish/>
          <w:sz w:val="28"/>
          <w:szCs w:val="28"/>
        </w:rPr>
      </w:pPr>
    </w:p>
    <w:p w14:paraId="38F4405A" w14:textId="0D55835B" w:rsidR="008675CA" w:rsidRDefault="008675CA" w:rsidP="001C719C">
      <w:pPr>
        <w:pStyle w:val="Default"/>
        <w:ind w:left="720"/>
        <w:jc w:val="both"/>
        <w:rPr>
          <w:vanish/>
          <w:sz w:val="28"/>
          <w:szCs w:val="28"/>
        </w:rPr>
      </w:pPr>
    </w:p>
    <w:p w14:paraId="249CF88D" w14:textId="34F7FF6E" w:rsidR="008675CA" w:rsidRDefault="008675CA" w:rsidP="001C719C">
      <w:pPr>
        <w:pStyle w:val="Default"/>
        <w:ind w:left="720"/>
        <w:jc w:val="both"/>
        <w:rPr>
          <w:vanish/>
          <w:sz w:val="28"/>
          <w:szCs w:val="28"/>
        </w:rPr>
      </w:pPr>
    </w:p>
    <w:p w14:paraId="290F005F" w14:textId="3F8DF515" w:rsidR="008675CA" w:rsidRDefault="008675CA" w:rsidP="001C719C">
      <w:pPr>
        <w:pStyle w:val="Default"/>
        <w:ind w:left="720"/>
        <w:jc w:val="both"/>
        <w:rPr>
          <w:vanish/>
          <w:sz w:val="28"/>
          <w:szCs w:val="28"/>
        </w:rPr>
      </w:pPr>
    </w:p>
    <w:p w14:paraId="440005CA" w14:textId="4FEAE415" w:rsidR="008675CA" w:rsidRDefault="008675CA" w:rsidP="001C719C">
      <w:pPr>
        <w:pStyle w:val="Default"/>
        <w:ind w:left="720"/>
        <w:jc w:val="both"/>
        <w:rPr>
          <w:vanish/>
          <w:sz w:val="28"/>
          <w:szCs w:val="28"/>
        </w:rPr>
      </w:pPr>
    </w:p>
    <w:p w14:paraId="013CE155" w14:textId="179D3C58" w:rsidR="008675CA" w:rsidRDefault="008675CA" w:rsidP="001C719C">
      <w:pPr>
        <w:pStyle w:val="Default"/>
        <w:ind w:left="720"/>
        <w:jc w:val="both"/>
        <w:rPr>
          <w:vanish/>
          <w:sz w:val="28"/>
          <w:szCs w:val="28"/>
        </w:rPr>
      </w:pPr>
    </w:p>
    <w:p w14:paraId="0620B3DF" w14:textId="2FA11DF5" w:rsidR="008675CA" w:rsidRDefault="008675CA" w:rsidP="001C719C">
      <w:pPr>
        <w:pStyle w:val="Default"/>
        <w:ind w:left="720"/>
        <w:jc w:val="both"/>
        <w:rPr>
          <w:vanish/>
          <w:sz w:val="28"/>
          <w:szCs w:val="28"/>
        </w:rPr>
      </w:pPr>
    </w:p>
    <w:p w14:paraId="53071B14" w14:textId="52A6B302" w:rsidR="008675CA" w:rsidRDefault="008675CA" w:rsidP="001C719C">
      <w:pPr>
        <w:pStyle w:val="Default"/>
        <w:ind w:left="720"/>
        <w:jc w:val="both"/>
        <w:rPr>
          <w:vanish/>
          <w:sz w:val="28"/>
          <w:szCs w:val="28"/>
        </w:rPr>
      </w:pPr>
    </w:p>
    <w:p w14:paraId="602E22B3" w14:textId="64F61819" w:rsidR="008675CA" w:rsidRDefault="008675CA" w:rsidP="001C719C">
      <w:pPr>
        <w:pStyle w:val="Default"/>
        <w:ind w:left="720"/>
        <w:jc w:val="both"/>
        <w:rPr>
          <w:vanish/>
          <w:sz w:val="28"/>
          <w:szCs w:val="28"/>
        </w:rPr>
      </w:pPr>
    </w:p>
    <w:p w14:paraId="50076693" w14:textId="46F6FA08" w:rsidR="008675CA" w:rsidRDefault="008675CA" w:rsidP="001C719C">
      <w:pPr>
        <w:pStyle w:val="Default"/>
        <w:ind w:left="720"/>
        <w:jc w:val="both"/>
        <w:rPr>
          <w:vanish/>
          <w:sz w:val="28"/>
          <w:szCs w:val="28"/>
        </w:rPr>
      </w:pPr>
    </w:p>
    <w:p w14:paraId="0BE2DC93" w14:textId="1934BAD0" w:rsidR="008675CA" w:rsidRDefault="008675CA" w:rsidP="001C719C">
      <w:pPr>
        <w:pStyle w:val="Default"/>
        <w:ind w:left="720"/>
        <w:jc w:val="both"/>
        <w:rPr>
          <w:vanish/>
          <w:sz w:val="28"/>
          <w:szCs w:val="28"/>
        </w:rPr>
      </w:pPr>
    </w:p>
    <w:p w14:paraId="16EF7503" w14:textId="7B68B772" w:rsidR="008675CA" w:rsidRDefault="008675CA" w:rsidP="001C719C">
      <w:pPr>
        <w:pStyle w:val="Default"/>
        <w:ind w:left="720"/>
        <w:jc w:val="both"/>
        <w:rPr>
          <w:vanish/>
          <w:sz w:val="28"/>
          <w:szCs w:val="28"/>
        </w:rPr>
      </w:pPr>
    </w:p>
    <w:p w14:paraId="7B529BED" w14:textId="2B34DBB2" w:rsidR="008675CA" w:rsidRDefault="008675CA" w:rsidP="001C719C">
      <w:pPr>
        <w:pStyle w:val="Default"/>
        <w:ind w:left="720"/>
        <w:jc w:val="both"/>
        <w:rPr>
          <w:vanish/>
          <w:sz w:val="28"/>
          <w:szCs w:val="28"/>
        </w:rPr>
      </w:pPr>
    </w:p>
    <w:p w14:paraId="25DCF43D" w14:textId="289280F5" w:rsidR="008675CA" w:rsidRDefault="008675CA" w:rsidP="001C719C">
      <w:pPr>
        <w:pStyle w:val="Default"/>
        <w:ind w:left="720"/>
        <w:jc w:val="both"/>
        <w:rPr>
          <w:vanish/>
          <w:sz w:val="28"/>
          <w:szCs w:val="28"/>
        </w:rPr>
      </w:pPr>
    </w:p>
    <w:p w14:paraId="176A04B5" w14:textId="59435517" w:rsidR="008675CA" w:rsidRDefault="008675CA" w:rsidP="001C719C">
      <w:pPr>
        <w:pStyle w:val="Default"/>
        <w:ind w:left="720"/>
        <w:jc w:val="both"/>
        <w:rPr>
          <w:vanish/>
          <w:sz w:val="28"/>
          <w:szCs w:val="28"/>
        </w:rPr>
      </w:pPr>
    </w:p>
    <w:p w14:paraId="07243C2F" w14:textId="77777777" w:rsidR="008675CA" w:rsidRDefault="008675CA" w:rsidP="001C719C">
      <w:pPr>
        <w:pStyle w:val="Default"/>
        <w:ind w:left="720"/>
        <w:jc w:val="both"/>
        <w:rPr>
          <w:vanish/>
          <w:sz w:val="28"/>
          <w:szCs w:val="28"/>
        </w:rPr>
      </w:pPr>
    </w:p>
    <w:p w14:paraId="530F8830" w14:textId="6D4FA345" w:rsidR="00C3519F" w:rsidRDefault="00C3519F" w:rsidP="001C719C">
      <w:pPr>
        <w:pStyle w:val="Default"/>
        <w:ind w:left="720"/>
        <w:jc w:val="both"/>
        <w:rPr>
          <w:vanish/>
          <w:sz w:val="28"/>
          <w:szCs w:val="28"/>
        </w:rPr>
      </w:pPr>
    </w:p>
    <w:p w14:paraId="74768C63" w14:textId="08B042B4" w:rsidR="00C3519F" w:rsidRDefault="00C3519F" w:rsidP="000210A3">
      <w:pPr>
        <w:pStyle w:val="Default"/>
        <w:jc w:val="both"/>
        <w:rPr>
          <w:vanish/>
          <w:sz w:val="28"/>
          <w:szCs w:val="28"/>
        </w:rPr>
      </w:pPr>
    </w:p>
    <w:p w14:paraId="6CFB983F" w14:textId="13B7B0AD" w:rsidR="00C3519F" w:rsidRDefault="00C3519F" w:rsidP="001C719C">
      <w:pPr>
        <w:pStyle w:val="Default"/>
        <w:ind w:left="720"/>
        <w:jc w:val="both"/>
        <w:rPr>
          <w:vanish/>
          <w:sz w:val="28"/>
          <w:szCs w:val="28"/>
        </w:rPr>
      </w:pPr>
    </w:p>
    <w:p w14:paraId="0901A0E3" w14:textId="6D402208" w:rsidR="000210A3" w:rsidRDefault="000210A3" w:rsidP="001C719C">
      <w:pPr>
        <w:pStyle w:val="Default"/>
        <w:ind w:left="720"/>
        <w:jc w:val="both"/>
        <w:rPr>
          <w:vanish/>
          <w:sz w:val="28"/>
          <w:szCs w:val="28"/>
        </w:rPr>
      </w:pPr>
    </w:p>
    <w:p w14:paraId="50667402" w14:textId="77777777" w:rsidR="000210A3" w:rsidRDefault="000210A3" w:rsidP="001C719C">
      <w:pPr>
        <w:pStyle w:val="Default"/>
        <w:ind w:left="720"/>
        <w:jc w:val="both"/>
        <w:rPr>
          <w:vanish/>
          <w:sz w:val="28"/>
          <w:szCs w:val="28"/>
        </w:rPr>
      </w:pPr>
    </w:p>
    <w:p w14:paraId="208CA2DA" w14:textId="77777777" w:rsidR="005569C9" w:rsidRDefault="005569C9" w:rsidP="00052A8A">
      <w:pPr>
        <w:pStyle w:val="Default"/>
        <w:outlineLvl w:val="0"/>
        <w:rPr>
          <w:b/>
          <w:sz w:val="28"/>
          <w:szCs w:val="28"/>
        </w:rPr>
      </w:pPr>
      <w:bookmarkStart w:id="29" w:name="_Toc95915134"/>
      <w:r w:rsidRPr="00E861B6">
        <w:rPr>
          <w:b/>
          <w:sz w:val="28"/>
          <w:szCs w:val="28"/>
        </w:rPr>
        <w:lastRenderedPageBreak/>
        <w:t>Appendix B: EasySave Process Flow Chart</w:t>
      </w:r>
      <w:bookmarkEnd w:id="29"/>
    </w:p>
    <w:p w14:paraId="4E503646" w14:textId="77777777" w:rsidR="00284CBC" w:rsidRPr="00E861B6" w:rsidRDefault="00284CBC" w:rsidP="00052A8A">
      <w:pPr>
        <w:pStyle w:val="Default"/>
        <w:outlineLvl w:val="0"/>
        <w:rPr>
          <w:b/>
          <w:sz w:val="28"/>
          <w:szCs w:val="28"/>
        </w:rPr>
      </w:pPr>
    </w:p>
    <w:p w14:paraId="763EF44B" w14:textId="77777777" w:rsidR="005569C9" w:rsidRDefault="006F3CF6" w:rsidP="001C719C">
      <w:pPr>
        <w:pStyle w:val="Default"/>
        <w:jc w:val="both"/>
        <w:rPr>
          <w:vanish/>
          <w:sz w:val="28"/>
          <w:szCs w:val="28"/>
        </w:rPr>
      </w:pPr>
      <w:r w:rsidRPr="006F3CF6">
        <w:rPr>
          <w:noProof/>
          <w:vanish/>
          <w:sz w:val="28"/>
          <w:szCs w:val="28"/>
          <w:lang w:eastAsia="en-US"/>
        </w:rPr>
        <w:drawing>
          <wp:inline distT="0" distB="0" distL="0" distR="0" wp14:anchorId="48EF519A" wp14:editId="201A5A1D">
            <wp:extent cx="5943600" cy="27717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2771775"/>
                    </a:xfrm>
                    <a:prstGeom prst="rect">
                      <a:avLst/>
                    </a:prstGeom>
                  </pic:spPr>
                </pic:pic>
              </a:graphicData>
            </a:graphic>
          </wp:inline>
        </w:drawing>
      </w:r>
    </w:p>
    <w:p w14:paraId="682ECB6B" w14:textId="77777777" w:rsidR="006F3CF6" w:rsidRDefault="006F3CF6" w:rsidP="001C719C">
      <w:pPr>
        <w:pStyle w:val="Default"/>
        <w:jc w:val="both"/>
        <w:rPr>
          <w:vanish/>
          <w:sz w:val="28"/>
          <w:szCs w:val="28"/>
        </w:rPr>
      </w:pPr>
      <w:r w:rsidRPr="006F3CF6">
        <w:rPr>
          <w:noProof/>
          <w:vanish/>
          <w:sz w:val="28"/>
          <w:szCs w:val="28"/>
          <w:lang w:eastAsia="en-US"/>
        </w:rPr>
        <w:drawing>
          <wp:inline distT="0" distB="0" distL="0" distR="0" wp14:anchorId="2DFFC3DB" wp14:editId="480980AD">
            <wp:extent cx="5943600" cy="281051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62849" cy="2819612"/>
                    </a:xfrm>
                    <a:prstGeom prst="rect">
                      <a:avLst/>
                    </a:prstGeom>
                  </pic:spPr>
                </pic:pic>
              </a:graphicData>
            </a:graphic>
          </wp:inline>
        </w:drawing>
      </w:r>
    </w:p>
    <w:p w14:paraId="663EB08B" w14:textId="77777777" w:rsidR="006F3CF6" w:rsidRDefault="006F3CF6" w:rsidP="001C719C">
      <w:pPr>
        <w:pStyle w:val="Default"/>
        <w:jc w:val="both"/>
        <w:rPr>
          <w:vanish/>
          <w:sz w:val="28"/>
          <w:szCs w:val="28"/>
        </w:rPr>
      </w:pPr>
      <w:r w:rsidRPr="006F3CF6">
        <w:rPr>
          <w:noProof/>
          <w:vanish/>
          <w:sz w:val="28"/>
          <w:szCs w:val="28"/>
          <w:lang w:eastAsia="en-US"/>
        </w:rPr>
        <w:lastRenderedPageBreak/>
        <w:drawing>
          <wp:inline distT="0" distB="0" distL="0" distR="0" wp14:anchorId="2F9A37B4" wp14:editId="4A57B979">
            <wp:extent cx="5943600" cy="18376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43600" cy="1837690"/>
                    </a:xfrm>
                    <a:prstGeom prst="rect">
                      <a:avLst/>
                    </a:prstGeom>
                  </pic:spPr>
                </pic:pic>
              </a:graphicData>
            </a:graphic>
          </wp:inline>
        </w:drawing>
      </w:r>
    </w:p>
    <w:p w14:paraId="0E07BB30" w14:textId="77777777" w:rsidR="006F3CF6" w:rsidRDefault="006F3CF6" w:rsidP="001C719C">
      <w:pPr>
        <w:pStyle w:val="Default"/>
        <w:jc w:val="both"/>
        <w:rPr>
          <w:vanish/>
          <w:sz w:val="28"/>
          <w:szCs w:val="28"/>
        </w:rPr>
      </w:pPr>
      <w:r w:rsidRPr="006F3CF6">
        <w:rPr>
          <w:noProof/>
          <w:vanish/>
          <w:sz w:val="28"/>
          <w:szCs w:val="28"/>
          <w:lang w:eastAsia="en-US"/>
        </w:rPr>
        <w:drawing>
          <wp:inline distT="0" distB="0" distL="0" distR="0" wp14:anchorId="227342EE" wp14:editId="3ADB747C">
            <wp:extent cx="5943600" cy="23444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943600" cy="2344420"/>
                    </a:xfrm>
                    <a:prstGeom prst="rect">
                      <a:avLst/>
                    </a:prstGeom>
                  </pic:spPr>
                </pic:pic>
              </a:graphicData>
            </a:graphic>
          </wp:inline>
        </w:drawing>
      </w:r>
    </w:p>
    <w:p w14:paraId="59A4C91F" w14:textId="77777777" w:rsidR="005569C9" w:rsidRDefault="005569C9" w:rsidP="001C719C">
      <w:pPr>
        <w:pStyle w:val="Default"/>
        <w:jc w:val="both"/>
        <w:rPr>
          <w:vanish/>
          <w:sz w:val="28"/>
          <w:szCs w:val="28"/>
        </w:rPr>
      </w:pPr>
    </w:p>
    <w:p w14:paraId="21C49C4E" w14:textId="77777777" w:rsidR="00416558" w:rsidRDefault="00416558" w:rsidP="000A46B4">
      <w:pPr>
        <w:tabs>
          <w:tab w:val="left" w:pos="1891"/>
        </w:tabs>
        <w:jc w:val="center"/>
      </w:pPr>
    </w:p>
    <w:sectPr w:rsidR="004165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3E276" w14:textId="77777777" w:rsidR="00340DE2" w:rsidRDefault="00340DE2">
      <w:pPr>
        <w:spacing w:after="0" w:line="240" w:lineRule="auto"/>
      </w:pPr>
      <w:r>
        <w:separator/>
      </w:r>
    </w:p>
  </w:endnote>
  <w:endnote w:type="continuationSeparator" w:id="0">
    <w:p w14:paraId="1927F2DB" w14:textId="77777777" w:rsidR="00340DE2" w:rsidRDefault="00340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BD448" w14:textId="77777777" w:rsidR="00C25F9F" w:rsidRDefault="00C25F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E0465" w14:textId="77777777" w:rsidR="00FD6B4F" w:rsidRDefault="00FD6B4F">
    <w:pPr>
      <w:pStyle w:val="Footer"/>
      <w:jc w:val="center"/>
    </w:pPr>
  </w:p>
  <w:p w14:paraId="571B7301" w14:textId="77777777" w:rsidR="00FD6B4F" w:rsidRPr="008164D0" w:rsidRDefault="00FD6B4F">
    <w:pPr>
      <w:pStyle w:val="Footer"/>
      <w:jc w:val="center"/>
    </w:pPr>
    <w:r w:rsidRPr="008164D0">
      <w:t xml:space="preserve">Paid for by Tucson Electric Power </w:t>
    </w:r>
    <w:r>
      <w:t>c</w:t>
    </w:r>
    <w:r w:rsidRPr="008164D0">
      <w:t>ustomers and approved by the Arizona Corporation Commission</w:t>
    </w:r>
    <w:r>
      <w:t>.</w:t>
    </w:r>
  </w:p>
  <w:p w14:paraId="5317BECF" w14:textId="77777777" w:rsidR="00FD6B4F" w:rsidRDefault="00FD6B4F">
    <w:pPr>
      <w:pStyle w:val="Footer"/>
      <w:jc w:val="center"/>
    </w:pPr>
  </w:p>
  <w:p w14:paraId="50FFF60C" w14:textId="7D169B62" w:rsidR="00FD6B4F" w:rsidRPr="008164D0" w:rsidRDefault="00FD6B4F">
    <w:pPr>
      <w:pStyle w:val="Footer"/>
      <w:jc w:val="center"/>
    </w:pPr>
    <w:r w:rsidRPr="008164D0">
      <w:t xml:space="preserve">Page </w:t>
    </w:r>
    <w:r w:rsidRPr="008164D0">
      <w:fldChar w:fldCharType="begin"/>
    </w:r>
    <w:r w:rsidRPr="008164D0">
      <w:instrText xml:space="preserve"> PAGE  \* Arabic  \* MERGEFORMAT </w:instrText>
    </w:r>
    <w:r w:rsidRPr="008164D0">
      <w:fldChar w:fldCharType="separate"/>
    </w:r>
    <w:r w:rsidR="005F1BFC">
      <w:rPr>
        <w:noProof/>
      </w:rPr>
      <w:t>2</w:t>
    </w:r>
    <w:r w:rsidRPr="008164D0">
      <w:fldChar w:fldCharType="end"/>
    </w:r>
    <w:r w:rsidRPr="008164D0">
      <w:t xml:space="preserve"> of </w:t>
    </w:r>
    <w:r>
      <w:rPr>
        <w:noProof/>
      </w:rPr>
      <w:fldChar w:fldCharType="begin"/>
    </w:r>
    <w:r>
      <w:rPr>
        <w:noProof/>
      </w:rPr>
      <w:instrText xml:space="preserve"> NUMPAGES  \* Arabic  \* MERGEFORMAT </w:instrText>
    </w:r>
    <w:r>
      <w:rPr>
        <w:noProof/>
      </w:rPr>
      <w:fldChar w:fldCharType="separate"/>
    </w:r>
    <w:r w:rsidR="005F1BFC">
      <w:rPr>
        <w:noProof/>
      </w:rPr>
      <w:t>18</w:t>
    </w:r>
    <w:r>
      <w:rPr>
        <w:noProof/>
      </w:rPr>
      <w:fldChar w:fldCharType="end"/>
    </w:r>
  </w:p>
  <w:p w14:paraId="068F04F4" w14:textId="77777777" w:rsidR="00FD6B4F" w:rsidRDefault="00FD6B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5A2D4" w14:textId="10CCF56B" w:rsidR="00FD6B4F" w:rsidRPr="004B3096" w:rsidRDefault="00FD6B4F" w:rsidP="00052A8A">
    <w:pPr>
      <w:pStyle w:val="Default"/>
      <w:jc w:val="center"/>
      <w:rPr>
        <w:b/>
        <w:bCs/>
        <w:i/>
        <w:iCs/>
      </w:rPr>
    </w:pPr>
    <w:r w:rsidRPr="004B3096">
      <w:t xml:space="preserve">This document was last updated </w:t>
    </w:r>
    <w:r w:rsidR="00333A05">
      <w:rPr>
        <w:b/>
        <w:bCs/>
        <w:i/>
        <w:iCs/>
      </w:rPr>
      <w:t>1/17/</w:t>
    </w:r>
    <w:r w:rsidR="00507DD7">
      <w:rPr>
        <w:b/>
        <w:bCs/>
        <w:i/>
        <w:iCs/>
      </w:rPr>
      <w:t>2022</w:t>
    </w:r>
    <w:r w:rsidRPr="004B3096">
      <w:rPr>
        <w:b/>
        <w:bCs/>
        <w:i/>
        <w:iCs/>
      </w:rPr>
      <w:t>.</w:t>
    </w:r>
  </w:p>
  <w:p w14:paraId="2D444AA0" w14:textId="77777777" w:rsidR="00FD6B4F" w:rsidRDefault="00FD6B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F5BD4" w14:textId="77777777" w:rsidR="00340DE2" w:rsidRDefault="00340DE2">
      <w:pPr>
        <w:spacing w:after="0" w:line="240" w:lineRule="auto"/>
      </w:pPr>
      <w:r>
        <w:separator/>
      </w:r>
    </w:p>
  </w:footnote>
  <w:footnote w:type="continuationSeparator" w:id="0">
    <w:p w14:paraId="085B603E" w14:textId="77777777" w:rsidR="00340DE2" w:rsidRDefault="00340D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C0A90" w14:textId="77777777" w:rsidR="00C25F9F" w:rsidRDefault="00C25F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5FCB2" w14:textId="77777777" w:rsidR="00FD6B4F" w:rsidRDefault="00FD6B4F" w:rsidP="002C0141">
    <w:pPr>
      <w:pStyle w:val="Header"/>
      <w:jc w:val="right"/>
    </w:pPr>
    <w:r w:rsidRPr="00A63245">
      <w:rPr>
        <w:b/>
        <w:bCs/>
        <w:noProof/>
        <w:sz w:val="48"/>
        <w:szCs w:val="48"/>
        <w:lang w:eastAsia="en-US"/>
      </w:rPr>
      <w:drawing>
        <wp:anchor distT="0" distB="0" distL="114300" distR="114300" simplePos="0" relativeHeight="251659264" behindDoc="0" locked="0" layoutInCell="1" allowOverlap="1" wp14:anchorId="27F4DB12" wp14:editId="77850040">
          <wp:simplePos x="0" y="0"/>
          <wp:positionH relativeFrom="column">
            <wp:posOffset>5055870</wp:posOffset>
          </wp:positionH>
          <wp:positionV relativeFrom="paragraph">
            <wp:posOffset>-217170</wp:posOffset>
          </wp:positionV>
          <wp:extent cx="1524000" cy="578884"/>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57888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0B596" w14:textId="77777777" w:rsidR="00C25F9F" w:rsidRDefault="00C25F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D68A6"/>
    <w:multiLevelType w:val="hybridMultilevel"/>
    <w:tmpl w:val="EEEED0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79484B"/>
    <w:multiLevelType w:val="hybridMultilevel"/>
    <w:tmpl w:val="1DE06BBA"/>
    <w:lvl w:ilvl="0" w:tplc="62F276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722591"/>
    <w:multiLevelType w:val="hybridMultilevel"/>
    <w:tmpl w:val="BA1A025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7566965"/>
    <w:multiLevelType w:val="hybridMultilevel"/>
    <w:tmpl w:val="3B78D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B21197"/>
    <w:multiLevelType w:val="hybridMultilevel"/>
    <w:tmpl w:val="F020C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9E1A3C"/>
    <w:multiLevelType w:val="hybridMultilevel"/>
    <w:tmpl w:val="57E8B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7F0A3B"/>
    <w:multiLevelType w:val="hybridMultilevel"/>
    <w:tmpl w:val="020849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E720DDA"/>
    <w:multiLevelType w:val="hybridMultilevel"/>
    <w:tmpl w:val="50D2055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42F3BF4"/>
    <w:multiLevelType w:val="hybridMultilevel"/>
    <w:tmpl w:val="0F7A28B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416A143E">
      <w:start w:val="12"/>
      <w:numFmt w:val="bullet"/>
      <w:lvlText w:val="-"/>
      <w:lvlJc w:val="left"/>
      <w:pPr>
        <w:ind w:left="3240" w:hanging="360"/>
      </w:pPr>
      <w:rPr>
        <w:rFonts w:ascii="Calibri" w:eastAsia="MS Mincho" w:hAnsi="Calibri" w:cs="Calibri"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88F63E2"/>
    <w:multiLevelType w:val="hybridMultilevel"/>
    <w:tmpl w:val="24F66A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0CC75E1"/>
    <w:multiLevelType w:val="hybridMultilevel"/>
    <w:tmpl w:val="010EF0DE"/>
    <w:lvl w:ilvl="0" w:tplc="F7644CB4">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0B639B"/>
    <w:multiLevelType w:val="multilevel"/>
    <w:tmpl w:val="A0369F22"/>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56653162"/>
    <w:multiLevelType w:val="multilevel"/>
    <w:tmpl w:val="8D3A7708"/>
    <w:lvl w:ilvl="0">
      <w:start w:val="15"/>
      <w:numFmt w:val="decimal"/>
      <w:lvlText w:val="%1"/>
      <w:lvlJc w:val="left"/>
      <w:pPr>
        <w:ind w:left="504" w:hanging="504"/>
      </w:pPr>
      <w:rPr>
        <w:rFonts w:hint="default"/>
      </w:rPr>
    </w:lvl>
    <w:lvl w:ilvl="1">
      <w:start w:val="1"/>
      <w:numFmt w:val="decimal"/>
      <w:lvlText w:val="%1.%2"/>
      <w:lvlJc w:val="left"/>
      <w:pPr>
        <w:ind w:left="1224" w:hanging="50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58E87FB8"/>
    <w:multiLevelType w:val="hybridMultilevel"/>
    <w:tmpl w:val="DB84E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5E2365"/>
    <w:multiLevelType w:val="hybridMultilevel"/>
    <w:tmpl w:val="1B18E2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D915F41"/>
    <w:multiLevelType w:val="hybridMultilevel"/>
    <w:tmpl w:val="52BA30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B35DC8"/>
    <w:multiLevelType w:val="hybridMultilevel"/>
    <w:tmpl w:val="C2AAA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BE15D2"/>
    <w:multiLevelType w:val="hybridMultilevel"/>
    <w:tmpl w:val="7C9ABA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E7717BC"/>
    <w:multiLevelType w:val="hybridMultilevel"/>
    <w:tmpl w:val="FBF0D1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7D571A9"/>
    <w:multiLevelType w:val="hybridMultilevel"/>
    <w:tmpl w:val="60309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
  </w:num>
  <w:num w:numId="4">
    <w:abstractNumId w:val="0"/>
  </w:num>
  <w:num w:numId="5">
    <w:abstractNumId w:val="7"/>
  </w:num>
  <w:num w:numId="6">
    <w:abstractNumId w:val="14"/>
  </w:num>
  <w:num w:numId="7">
    <w:abstractNumId w:val="8"/>
  </w:num>
  <w:num w:numId="8">
    <w:abstractNumId w:val="5"/>
  </w:num>
  <w:num w:numId="9">
    <w:abstractNumId w:val="2"/>
  </w:num>
  <w:num w:numId="10">
    <w:abstractNumId w:val="16"/>
  </w:num>
  <w:num w:numId="11">
    <w:abstractNumId w:val="12"/>
  </w:num>
  <w:num w:numId="12">
    <w:abstractNumId w:val="9"/>
  </w:num>
  <w:num w:numId="13">
    <w:abstractNumId w:val="19"/>
  </w:num>
  <w:num w:numId="14">
    <w:abstractNumId w:val="18"/>
  </w:num>
  <w:num w:numId="15">
    <w:abstractNumId w:val="11"/>
  </w:num>
  <w:num w:numId="16">
    <w:abstractNumId w:val="17"/>
  </w:num>
  <w:num w:numId="17">
    <w:abstractNumId w:val="4"/>
  </w:num>
  <w:num w:numId="18">
    <w:abstractNumId w:val="6"/>
  </w:num>
  <w:num w:numId="19">
    <w:abstractNumId w:val="13"/>
  </w:num>
  <w:num w:numId="20">
    <w:abstractNumId w:val="1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readOnly" w:formatting="1" w:enforcement="1" w:cryptProviderType="rsaAES" w:cryptAlgorithmClass="hash" w:cryptAlgorithmType="typeAny" w:cryptAlgorithmSid="14" w:cryptSpinCount="100000" w:hash="WlvViWjKMpHT2rjJWqQofIus48Oy0BA2rYmRk1inncu5zhQlWiowj2ZmjOgD13o1ZXV5czjZhID8UZsPGlSBLw==" w:salt="+Yxf3VITzdWAzyhkcKxmSQ=="/>
  <w:styleLockTheme/>
  <w:styleLockQFSet/>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9C9"/>
    <w:rsid w:val="000210A3"/>
    <w:rsid w:val="0002667E"/>
    <w:rsid w:val="000321E1"/>
    <w:rsid w:val="0003326A"/>
    <w:rsid w:val="00034549"/>
    <w:rsid w:val="00040310"/>
    <w:rsid w:val="00041C12"/>
    <w:rsid w:val="00052A8A"/>
    <w:rsid w:val="0009092E"/>
    <w:rsid w:val="00091C46"/>
    <w:rsid w:val="00097232"/>
    <w:rsid w:val="000A370F"/>
    <w:rsid w:val="000A46B4"/>
    <w:rsid w:val="000B2C45"/>
    <w:rsid w:val="000B6030"/>
    <w:rsid w:val="000C3A0C"/>
    <w:rsid w:val="000E3413"/>
    <w:rsid w:val="000E46A2"/>
    <w:rsid w:val="000F2E5A"/>
    <w:rsid w:val="00103238"/>
    <w:rsid w:val="0010673A"/>
    <w:rsid w:val="00125DB9"/>
    <w:rsid w:val="001330A6"/>
    <w:rsid w:val="00137C6B"/>
    <w:rsid w:val="0014590A"/>
    <w:rsid w:val="0016464F"/>
    <w:rsid w:val="00172CBC"/>
    <w:rsid w:val="00182BBD"/>
    <w:rsid w:val="001A6C2F"/>
    <w:rsid w:val="001C46B4"/>
    <w:rsid w:val="001C719C"/>
    <w:rsid w:val="001D1EB9"/>
    <w:rsid w:val="001D4745"/>
    <w:rsid w:val="001E74B6"/>
    <w:rsid w:val="001F323E"/>
    <w:rsid w:val="001F5739"/>
    <w:rsid w:val="002075AB"/>
    <w:rsid w:val="00210E8E"/>
    <w:rsid w:val="002227F2"/>
    <w:rsid w:val="00223489"/>
    <w:rsid w:val="00230F7C"/>
    <w:rsid w:val="00232BD2"/>
    <w:rsid w:val="00235E58"/>
    <w:rsid w:val="00262154"/>
    <w:rsid w:val="00284CBC"/>
    <w:rsid w:val="00293D2D"/>
    <w:rsid w:val="002A122F"/>
    <w:rsid w:val="002A45CC"/>
    <w:rsid w:val="002A73FA"/>
    <w:rsid w:val="002B5A54"/>
    <w:rsid w:val="002C0141"/>
    <w:rsid w:val="002C4C05"/>
    <w:rsid w:val="002E3835"/>
    <w:rsid w:val="00303E85"/>
    <w:rsid w:val="00306119"/>
    <w:rsid w:val="003062CE"/>
    <w:rsid w:val="003062F6"/>
    <w:rsid w:val="00327231"/>
    <w:rsid w:val="00333A05"/>
    <w:rsid w:val="003351C8"/>
    <w:rsid w:val="00340DE2"/>
    <w:rsid w:val="00342E3C"/>
    <w:rsid w:val="003437C3"/>
    <w:rsid w:val="0035018D"/>
    <w:rsid w:val="0035182D"/>
    <w:rsid w:val="0035641F"/>
    <w:rsid w:val="003618EE"/>
    <w:rsid w:val="00384A60"/>
    <w:rsid w:val="00397DF3"/>
    <w:rsid w:val="003A5F5F"/>
    <w:rsid w:val="003B2FC3"/>
    <w:rsid w:val="003C63E4"/>
    <w:rsid w:val="003D3FA8"/>
    <w:rsid w:val="003E5D9D"/>
    <w:rsid w:val="003F006E"/>
    <w:rsid w:val="004063FB"/>
    <w:rsid w:val="004107A7"/>
    <w:rsid w:val="00410ADA"/>
    <w:rsid w:val="00415B59"/>
    <w:rsid w:val="00416558"/>
    <w:rsid w:val="00434147"/>
    <w:rsid w:val="0044316E"/>
    <w:rsid w:val="00443902"/>
    <w:rsid w:val="0045225D"/>
    <w:rsid w:val="00463721"/>
    <w:rsid w:val="004673F4"/>
    <w:rsid w:val="0047485C"/>
    <w:rsid w:val="004756C8"/>
    <w:rsid w:val="00481F33"/>
    <w:rsid w:val="00484B46"/>
    <w:rsid w:val="00495435"/>
    <w:rsid w:val="00496E8D"/>
    <w:rsid w:val="004A5514"/>
    <w:rsid w:val="004A65FA"/>
    <w:rsid w:val="004A7C99"/>
    <w:rsid w:val="004B4949"/>
    <w:rsid w:val="004E0A78"/>
    <w:rsid w:val="004F3AFC"/>
    <w:rsid w:val="004F5077"/>
    <w:rsid w:val="004F65E5"/>
    <w:rsid w:val="005009E9"/>
    <w:rsid w:val="00507DD7"/>
    <w:rsid w:val="00513F7A"/>
    <w:rsid w:val="00534AD8"/>
    <w:rsid w:val="00541893"/>
    <w:rsid w:val="00544386"/>
    <w:rsid w:val="005569C9"/>
    <w:rsid w:val="00561A76"/>
    <w:rsid w:val="0057604D"/>
    <w:rsid w:val="00577BB1"/>
    <w:rsid w:val="00582E1D"/>
    <w:rsid w:val="005A2E43"/>
    <w:rsid w:val="005A76D3"/>
    <w:rsid w:val="005F1BFC"/>
    <w:rsid w:val="006009AC"/>
    <w:rsid w:val="00606652"/>
    <w:rsid w:val="00616D58"/>
    <w:rsid w:val="006176F8"/>
    <w:rsid w:val="006320D4"/>
    <w:rsid w:val="00643FCD"/>
    <w:rsid w:val="00671428"/>
    <w:rsid w:val="00682069"/>
    <w:rsid w:val="0068473E"/>
    <w:rsid w:val="00685A0D"/>
    <w:rsid w:val="006A699E"/>
    <w:rsid w:val="006C3A3C"/>
    <w:rsid w:val="006E38DB"/>
    <w:rsid w:val="006F3CF6"/>
    <w:rsid w:val="006F5EAE"/>
    <w:rsid w:val="00702EA2"/>
    <w:rsid w:val="00730EA3"/>
    <w:rsid w:val="00735C55"/>
    <w:rsid w:val="00736F0B"/>
    <w:rsid w:val="00743C12"/>
    <w:rsid w:val="00744288"/>
    <w:rsid w:val="00744EB9"/>
    <w:rsid w:val="007569B9"/>
    <w:rsid w:val="00791171"/>
    <w:rsid w:val="007944E1"/>
    <w:rsid w:val="007A1407"/>
    <w:rsid w:val="007A3871"/>
    <w:rsid w:val="007C5093"/>
    <w:rsid w:val="007D28F1"/>
    <w:rsid w:val="007D63D5"/>
    <w:rsid w:val="007E376B"/>
    <w:rsid w:val="00804C2D"/>
    <w:rsid w:val="008067E3"/>
    <w:rsid w:val="008140A0"/>
    <w:rsid w:val="00820126"/>
    <w:rsid w:val="00845768"/>
    <w:rsid w:val="0086178D"/>
    <w:rsid w:val="008675CA"/>
    <w:rsid w:val="0087110B"/>
    <w:rsid w:val="00885AE8"/>
    <w:rsid w:val="00891978"/>
    <w:rsid w:val="008B45DC"/>
    <w:rsid w:val="008B48CF"/>
    <w:rsid w:val="008C6268"/>
    <w:rsid w:val="008D3290"/>
    <w:rsid w:val="009034BF"/>
    <w:rsid w:val="00916526"/>
    <w:rsid w:val="00916B6C"/>
    <w:rsid w:val="009403C2"/>
    <w:rsid w:val="00945625"/>
    <w:rsid w:val="00953DAC"/>
    <w:rsid w:val="00961F0E"/>
    <w:rsid w:val="009716D8"/>
    <w:rsid w:val="00990F25"/>
    <w:rsid w:val="00994BE3"/>
    <w:rsid w:val="009A64E3"/>
    <w:rsid w:val="009C7536"/>
    <w:rsid w:val="009D1FFC"/>
    <w:rsid w:val="009D7717"/>
    <w:rsid w:val="009D7979"/>
    <w:rsid w:val="00A11325"/>
    <w:rsid w:val="00A21243"/>
    <w:rsid w:val="00A23D12"/>
    <w:rsid w:val="00A25A4D"/>
    <w:rsid w:val="00A411CC"/>
    <w:rsid w:val="00A5003C"/>
    <w:rsid w:val="00A97583"/>
    <w:rsid w:val="00AB46DA"/>
    <w:rsid w:val="00AC10BB"/>
    <w:rsid w:val="00AD04A5"/>
    <w:rsid w:val="00B02F90"/>
    <w:rsid w:val="00B04C08"/>
    <w:rsid w:val="00B52EE6"/>
    <w:rsid w:val="00B56BC3"/>
    <w:rsid w:val="00B642BF"/>
    <w:rsid w:val="00B673E3"/>
    <w:rsid w:val="00BA1AFE"/>
    <w:rsid w:val="00BA1E00"/>
    <w:rsid w:val="00BC1EB7"/>
    <w:rsid w:val="00BC6735"/>
    <w:rsid w:val="00BC7054"/>
    <w:rsid w:val="00BD5F63"/>
    <w:rsid w:val="00BD6B4C"/>
    <w:rsid w:val="00BE5CFD"/>
    <w:rsid w:val="00BF052F"/>
    <w:rsid w:val="00BF2EE9"/>
    <w:rsid w:val="00BF4BF7"/>
    <w:rsid w:val="00BF7E08"/>
    <w:rsid w:val="00C0279E"/>
    <w:rsid w:val="00C139C4"/>
    <w:rsid w:val="00C13BCB"/>
    <w:rsid w:val="00C25F9F"/>
    <w:rsid w:val="00C3515C"/>
    <w:rsid w:val="00C3519F"/>
    <w:rsid w:val="00C41515"/>
    <w:rsid w:val="00C60B6A"/>
    <w:rsid w:val="00C65472"/>
    <w:rsid w:val="00C875B1"/>
    <w:rsid w:val="00C91786"/>
    <w:rsid w:val="00C96E3F"/>
    <w:rsid w:val="00CB75AF"/>
    <w:rsid w:val="00CC2595"/>
    <w:rsid w:val="00CD0714"/>
    <w:rsid w:val="00CE1F4A"/>
    <w:rsid w:val="00CE5453"/>
    <w:rsid w:val="00CE6F1E"/>
    <w:rsid w:val="00CE7BD3"/>
    <w:rsid w:val="00D208F8"/>
    <w:rsid w:val="00D219B5"/>
    <w:rsid w:val="00D235C6"/>
    <w:rsid w:val="00D276A9"/>
    <w:rsid w:val="00D33316"/>
    <w:rsid w:val="00D40DB4"/>
    <w:rsid w:val="00D552A2"/>
    <w:rsid w:val="00D707AD"/>
    <w:rsid w:val="00D779DF"/>
    <w:rsid w:val="00D8207C"/>
    <w:rsid w:val="00DA2957"/>
    <w:rsid w:val="00DA3F59"/>
    <w:rsid w:val="00DB4882"/>
    <w:rsid w:val="00DB5559"/>
    <w:rsid w:val="00DD110B"/>
    <w:rsid w:val="00DD4E8D"/>
    <w:rsid w:val="00DE6640"/>
    <w:rsid w:val="00DF3B3D"/>
    <w:rsid w:val="00E14FBA"/>
    <w:rsid w:val="00E220F7"/>
    <w:rsid w:val="00E24CE4"/>
    <w:rsid w:val="00E24F99"/>
    <w:rsid w:val="00E3209B"/>
    <w:rsid w:val="00E32BD5"/>
    <w:rsid w:val="00E438E8"/>
    <w:rsid w:val="00E44532"/>
    <w:rsid w:val="00E50F27"/>
    <w:rsid w:val="00E861B6"/>
    <w:rsid w:val="00EA1B64"/>
    <w:rsid w:val="00EB1DC6"/>
    <w:rsid w:val="00EB4983"/>
    <w:rsid w:val="00EC138F"/>
    <w:rsid w:val="00ED5284"/>
    <w:rsid w:val="00EE1D28"/>
    <w:rsid w:val="00EE72FC"/>
    <w:rsid w:val="00F0792F"/>
    <w:rsid w:val="00F45264"/>
    <w:rsid w:val="00F54AD4"/>
    <w:rsid w:val="00F725FB"/>
    <w:rsid w:val="00F772B4"/>
    <w:rsid w:val="00F85A77"/>
    <w:rsid w:val="00F87402"/>
    <w:rsid w:val="00F9232F"/>
    <w:rsid w:val="00FA0409"/>
    <w:rsid w:val="00FB7939"/>
    <w:rsid w:val="00FC668C"/>
    <w:rsid w:val="00FD6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004EDAD"/>
  <w15:chartTrackingRefBased/>
  <w15:docId w15:val="{F8054498-37A7-404C-812B-00BCEC2CE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iPriority="0"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iPriority="0"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5569C9"/>
    <w:pPr>
      <w:spacing w:after="200" w:line="276" w:lineRule="auto"/>
    </w:pPr>
    <w:rPr>
      <w:rFonts w:eastAsia="MS Mincho"/>
      <w:lang w:eastAsia="ja-JP"/>
    </w:rPr>
  </w:style>
  <w:style w:type="paragraph" w:styleId="Heading1">
    <w:name w:val="heading 1"/>
    <w:basedOn w:val="Normal"/>
    <w:next w:val="Normal"/>
    <w:link w:val="Heading1Char"/>
    <w:uiPriority w:val="9"/>
    <w:qFormat/>
    <w:rsid w:val="00513F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ocked/>
    <w:rsid w:val="005569C9"/>
    <w:pPr>
      <w:autoSpaceDE w:val="0"/>
      <w:autoSpaceDN w:val="0"/>
      <w:adjustRightInd w:val="0"/>
      <w:spacing w:after="0" w:line="240" w:lineRule="auto"/>
    </w:pPr>
    <w:rPr>
      <w:rFonts w:ascii="Calibri" w:eastAsia="MS Mincho" w:hAnsi="Calibri" w:cs="Calibri"/>
      <w:color w:val="000000"/>
      <w:sz w:val="24"/>
      <w:szCs w:val="24"/>
      <w:lang w:eastAsia="ja-JP"/>
    </w:rPr>
  </w:style>
  <w:style w:type="paragraph" w:styleId="Header">
    <w:name w:val="header"/>
    <w:basedOn w:val="Normal"/>
    <w:link w:val="HeaderChar"/>
    <w:uiPriority w:val="99"/>
    <w:unhideWhenUsed/>
    <w:rsid w:val="005569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9C9"/>
    <w:rPr>
      <w:rFonts w:eastAsia="MS Mincho"/>
      <w:lang w:eastAsia="ja-JP"/>
    </w:rPr>
  </w:style>
  <w:style w:type="paragraph" w:styleId="Footer">
    <w:name w:val="footer"/>
    <w:basedOn w:val="Normal"/>
    <w:link w:val="FooterChar"/>
    <w:uiPriority w:val="99"/>
    <w:unhideWhenUsed/>
    <w:rsid w:val="005569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9C9"/>
    <w:rPr>
      <w:rFonts w:eastAsia="MS Mincho"/>
      <w:lang w:eastAsia="ja-JP"/>
    </w:rPr>
  </w:style>
  <w:style w:type="character" w:styleId="CommentReference">
    <w:name w:val="annotation reference"/>
    <w:basedOn w:val="DefaultParagraphFont"/>
    <w:semiHidden/>
    <w:unhideWhenUsed/>
    <w:rsid w:val="005569C9"/>
    <w:rPr>
      <w:sz w:val="16"/>
      <w:szCs w:val="16"/>
    </w:rPr>
  </w:style>
  <w:style w:type="paragraph" w:styleId="CommentText">
    <w:name w:val="annotation text"/>
    <w:basedOn w:val="Normal"/>
    <w:link w:val="CommentTextChar"/>
    <w:semiHidden/>
    <w:unhideWhenUsed/>
    <w:rsid w:val="005569C9"/>
    <w:pPr>
      <w:spacing w:line="240" w:lineRule="auto"/>
    </w:pPr>
    <w:rPr>
      <w:sz w:val="20"/>
      <w:szCs w:val="20"/>
    </w:rPr>
  </w:style>
  <w:style w:type="character" w:customStyle="1" w:styleId="CommentTextChar">
    <w:name w:val="Comment Text Char"/>
    <w:basedOn w:val="DefaultParagraphFont"/>
    <w:link w:val="CommentText"/>
    <w:semiHidden/>
    <w:rsid w:val="005569C9"/>
    <w:rPr>
      <w:rFonts w:eastAsia="MS Mincho"/>
      <w:sz w:val="20"/>
      <w:szCs w:val="20"/>
      <w:lang w:eastAsia="ja-JP"/>
    </w:rPr>
  </w:style>
  <w:style w:type="character" w:styleId="Hyperlink">
    <w:name w:val="Hyperlink"/>
    <w:basedOn w:val="DefaultParagraphFont"/>
    <w:uiPriority w:val="99"/>
    <w:unhideWhenUsed/>
    <w:rsid w:val="005569C9"/>
    <w:rPr>
      <w:color w:val="0563C1" w:themeColor="hyperlink"/>
      <w:u w:val="single"/>
    </w:rPr>
  </w:style>
  <w:style w:type="paragraph" w:customStyle="1" w:styleId="Bullet">
    <w:name w:val="Bullet"/>
    <w:basedOn w:val="Default"/>
    <w:next w:val="Default"/>
    <w:uiPriority w:val="99"/>
    <w:locked/>
    <w:rsid w:val="005569C9"/>
    <w:pPr>
      <w:widowControl w:val="0"/>
    </w:pPr>
    <w:rPr>
      <w:rFonts w:ascii="Times New Roman" w:eastAsia="Times New Roman" w:hAnsi="Times New Roman" w:cs="Times New Roman"/>
      <w:color w:val="auto"/>
      <w:lang w:eastAsia="en-US"/>
    </w:rPr>
  </w:style>
  <w:style w:type="paragraph" w:styleId="BalloonText">
    <w:name w:val="Balloon Text"/>
    <w:basedOn w:val="Normal"/>
    <w:link w:val="BalloonTextChar"/>
    <w:uiPriority w:val="99"/>
    <w:semiHidden/>
    <w:unhideWhenUsed/>
    <w:rsid w:val="005569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9C9"/>
    <w:rPr>
      <w:rFonts w:ascii="Segoe UI" w:eastAsia="MS Mincho" w:hAnsi="Segoe UI" w:cs="Segoe UI"/>
      <w:sz w:val="18"/>
      <w:szCs w:val="18"/>
      <w:lang w:eastAsia="ja-JP"/>
    </w:rPr>
  </w:style>
  <w:style w:type="paragraph" w:styleId="CommentSubject">
    <w:name w:val="annotation subject"/>
    <w:basedOn w:val="CommentText"/>
    <w:next w:val="CommentText"/>
    <w:link w:val="CommentSubjectChar"/>
    <w:uiPriority w:val="99"/>
    <w:semiHidden/>
    <w:unhideWhenUsed/>
    <w:rsid w:val="005569C9"/>
    <w:rPr>
      <w:b/>
      <w:bCs/>
    </w:rPr>
  </w:style>
  <w:style w:type="character" w:customStyle="1" w:styleId="CommentSubjectChar">
    <w:name w:val="Comment Subject Char"/>
    <w:basedOn w:val="CommentTextChar"/>
    <w:link w:val="CommentSubject"/>
    <w:uiPriority w:val="99"/>
    <w:semiHidden/>
    <w:rsid w:val="005569C9"/>
    <w:rPr>
      <w:rFonts w:eastAsia="MS Mincho"/>
      <w:b/>
      <w:bCs/>
      <w:sz w:val="20"/>
      <w:szCs w:val="20"/>
      <w:lang w:eastAsia="ja-JP"/>
    </w:rPr>
  </w:style>
  <w:style w:type="paragraph" w:styleId="Revision">
    <w:name w:val="Revision"/>
    <w:hidden/>
    <w:uiPriority w:val="99"/>
    <w:semiHidden/>
    <w:rsid w:val="0002667E"/>
    <w:pPr>
      <w:spacing w:after="0" w:line="240" w:lineRule="auto"/>
    </w:pPr>
    <w:rPr>
      <w:rFonts w:eastAsia="MS Mincho"/>
      <w:lang w:eastAsia="ja-JP"/>
    </w:rPr>
  </w:style>
  <w:style w:type="paragraph" w:styleId="NoSpacing">
    <w:name w:val="No Spacing"/>
    <w:uiPriority w:val="1"/>
    <w:qFormat/>
    <w:rsid w:val="0016464F"/>
    <w:pPr>
      <w:spacing w:after="0" w:line="240" w:lineRule="auto"/>
    </w:pPr>
    <w:rPr>
      <w:rFonts w:eastAsia="MS Mincho"/>
      <w:lang w:eastAsia="ja-JP"/>
    </w:rPr>
  </w:style>
  <w:style w:type="character" w:customStyle="1" w:styleId="Heading1Char">
    <w:name w:val="Heading 1 Char"/>
    <w:basedOn w:val="DefaultParagraphFont"/>
    <w:link w:val="Heading1"/>
    <w:uiPriority w:val="9"/>
    <w:rsid w:val="00513F7A"/>
    <w:rPr>
      <w:rFonts w:asciiTheme="majorHAnsi" w:eastAsiaTheme="majorEastAsia" w:hAnsiTheme="majorHAnsi" w:cstheme="majorBidi"/>
      <w:color w:val="2F5496" w:themeColor="accent1" w:themeShade="BF"/>
      <w:sz w:val="32"/>
      <w:szCs w:val="32"/>
      <w:lang w:eastAsia="ja-JP"/>
    </w:rPr>
  </w:style>
  <w:style w:type="paragraph" w:styleId="TOCHeading">
    <w:name w:val="TOC Heading"/>
    <w:basedOn w:val="Heading1"/>
    <w:next w:val="Normal"/>
    <w:uiPriority w:val="39"/>
    <w:unhideWhenUsed/>
    <w:qFormat/>
    <w:rsid w:val="00513F7A"/>
    <w:pPr>
      <w:spacing w:line="259" w:lineRule="auto"/>
      <w:outlineLvl w:val="9"/>
    </w:pPr>
    <w:rPr>
      <w:lang w:eastAsia="en-US"/>
    </w:rPr>
  </w:style>
  <w:style w:type="paragraph" w:styleId="TOC1">
    <w:name w:val="toc 1"/>
    <w:basedOn w:val="Normal"/>
    <w:next w:val="Normal"/>
    <w:autoRedefine/>
    <w:uiPriority w:val="39"/>
    <w:unhideWhenUsed/>
    <w:rsid w:val="00513F7A"/>
    <w:pPr>
      <w:spacing w:after="100"/>
    </w:pPr>
  </w:style>
  <w:style w:type="character" w:styleId="FollowedHyperlink">
    <w:name w:val="FollowedHyperlink"/>
    <w:basedOn w:val="DefaultParagraphFont"/>
    <w:uiPriority w:val="99"/>
    <w:semiHidden/>
    <w:unhideWhenUsed/>
    <w:rsid w:val="00B52EE6"/>
    <w:rPr>
      <w:color w:val="954F72" w:themeColor="followedHyperlink"/>
      <w:u w:val="single"/>
    </w:rPr>
  </w:style>
  <w:style w:type="paragraph" w:customStyle="1" w:styleId="ParaText">
    <w:name w:val="ParaText"/>
    <w:basedOn w:val="Normal"/>
    <w:locked/>
    <w:rsid w:val="00541893"/>
    <w:pPr>
      <w:spacing w:after="240" w:line="300" w:lineRule="auto"/>
      <w:jc w:val="both"/>
    </w:pPr>
    <w:rPr>
      <w:rFonts w:ascii="Times New Roman" w:eastAsia="Times New Roman" w:hAnsi="Times New Roman"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44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tepcommercialenergysolutions.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tepcommercialenergysolutions.com"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tepcommercialenergysolution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yperlink" Target="mailto:ces@tep.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2.png"/><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007D1D384CA349A987494E62A2D680" ma:contentTypeVersion="6" ma:contentTypeDescription="Create a new document." ma:contentTypeScope="" ma:versionID="28acb8855548986a211181c25103c466">
  <xsd:schema xmlns:xsd="http://www.w3.org/2001/XMLSchema" xmlns:xs="http://www.w3.org/2001/XMLSchema" xmlns:p="http://schemas.microsoft.com/office/2006/metadata/properties" xmlns:ns2="f795ccfb-ff80-4386-8b62-e080b3b606d6" xmlns:ns3="6c7985cf-0943-4434-a24f-91cfa114f59f" targetNamespace="http://schemas.microsoft.com/office/2006/metadata/properties" ma:root="true" ma:fieldsID="87334f5af173610fe73c00b1c62960e7" ns2:_="" ns3:_="">
    <xsd:import namespace="f795ccfb-ff80-4386-8b62-e080b3b606d6"/>
    <xsd:import namespace="6c7985cf-0943-4434-a24f-91cfa114f5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95ccfb-ff80-4386-8b62-e080b3b606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7985cf-0943-4434-a24f-91cfa114f59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99D37D-2554-446E-893E-90276D822621}">
  <ds:schemaRefs>
    <ds:schemaRef ds:uri="http://schemas.openxmlformats.org/officeDocument/2006/bibliography"/>
  </ds:schemaRefs>
</ds:datastoreItem>
</file>

<file path=customXml/itemProps2.xml><?xml version="1.0" encoding="utf-8"?>
<ds:datastoreItem xmlns:ds="http://schemas.openxmlformats.org/officeDocument/2006/customXml" ds:itemID="{D8FFB38E-D7D4-4945-8C4C-E316A72EA39A}">
  <ds:schemaRefs>
    <ds:schemaRef ds:uri="http://schemas.microsoft.com/sharepoint/v3/contenttype/forms"/>
  </ds:schemaRefs>
</ds:datastoreItem>
</file>

<file path=customXml/itemProps3.xml><?xml version="1.0" encoding="utf-8"?>
<ds:datastoreItem xmlns:ds="http://schemas.openxmlformats.org/officeDocument/2006/customXml" ds:itemID="{381C0BD9-6812-4DD4-A129-EBAF47260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95ccfb-ff80-4386-8b62-e080b3b606d6"/>
    <ds:schemaRef ds:uri="6c7985cf-0943-4434-a24f-91cfa114f5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EB23E0-4F46-41D9-9363-AC3E5C325134}">
  <ds:schemaRefs>
    <ds:schemaRef ds:uri="http://purl.org/dc/terms/"/>
    <ds:schemaRef ds:uri="http://schemas.openxmlformats.org/package/2006/metadata/core-properties"/>
    <ds:schemaRef ds:uri="http://schemas.microsoft.com/office/2006/documentManagement/types"/>
    <ds:schemaRef ds:uri="6c7985cf-0943-4434-a24f-91cfa114f59f"/>
    <ds:schemaRef ds:uri="f795ccfb-ff80-4386-8b62-e080b3b606d6"/>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20</Pages>
  <Words>4808</Words>
  <Characters>27412</Characters>
  <Application>Microsoft Office Word</Application>
  <DocSecurity>8</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Koon, Christina B</dc:creator>
  <cp:keywords/>
  <dc:description/>
  <cp:lastModifiedBy>Sylvester, Christina B</cp:lastModifiedBy>
  <cp:revision>3</cp:revision>
  <dcterms:created xsi:type="dcterms:W3CDTF">2022-02-16T22:45:00Z</dcterms:created>
  <dcterms:modified xsi:type="dcterms:W3CDTF">2022-02-16T22:46:00Z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0x0101005A007D1D384CA349A987494E62A2D680</vt:lpwstr>
  </property>
  <property fmtid="{D5CDD505-2E9C-101B-9397-08002B2CF9AE}" pid="3" name="MSIP_Label_22fbb032-08bf-4f1e-af46-2528cd3f96ca_Enabled">
    <vt:lpwstr>true</vt:lpwstr>
  </property>
  <property fmtid="{D5CDD505-2E9C-101B-9397-08002B2CF9AE}" pid="4" name="MSIP_Label_22fbb032-08bf-4f1e-af46-2528cd3f96ca_SetDate">
    <vt:lpwstr>2021-05-17T21:14:21Z</vt:lpwstr>
  </property>
  <property fmtid="{D5CDD505-2E9C-101B-9397-08002B2CF9AE}" pid="5" name="MSIP_Label_22fbb032-08bf-4f1e-af46-2528cd3f96ca_Method">
    <vt:lpwstr>Privileged</vt:lpwstr>
  </property>
  <property fmtid="{D5CDD505-2E9C-101B-9397-08002B2CF9AE}" pid="6" name="MSIP_Label_22fbb032-08bf-4f1e-af46-2528cd3f96ca_Name">
    <vt:lpwstr>22fbb032-08bf-4f1e-af46-2528cd3f96ca</vt:lpwstr>
  </property>
  <property fmtid="{D5CDD505-2E9C-101B-9397-08002B2CF9AE}" pid="7" name="MSIP_Label_22fbb032-08bf-4f1e-af46-2528cd3f96ca_SiteId">
    <vt:lpwstr>adf10e2b-b6e9-41d6-be2f-c12bb566019c</vt:lpwstr>
  </property>
  <property fmtid="{D5CDD505-2E9C-101B-9397-08002B2CF9AE}" pid="8" name="MSIP_Label_22fbb032-08bf-4f1e-af46-2528cd3f96ca_ActionId">
    <vt:lpwstr>841d385e-5ad1-47eb-8460-9495447929e9</vt:lpwstr>
  </property>
  <property fmtid="{D5CDD505-2E9C-101B-9397-08002B2CF9AE}" pid="9" name="MSIP_Label_22fbb032-08bf-4f1e-af46-2528cd3f96ca_ContentBits">
    <vt:lpwstr>0</vt:lpwstr>
  </property>
</Properties>
</file>